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E66C" w14:textId="77777777" w:rsidR="00CB22F5" w:rsidRDefault="00CB22F5" w:rsidP="009D6670">
      <w:pPr>
        <w:jc w:val="center"/>
        <w:rPr>
          <w:b/>
          <w:sz w:val="24"/>
          <w:szCs w:val="24"/>
        </w:rPr>
      </w:pPr>
      <w:bookmarkStart w:id="0" w:name="_GoBack"/>
    </w:p>
    <w:p w14:paraId="261CD000" w14:textId="77777777" w:rsidR="00B60175" w:rsidRPr="00DE0180" w:rsidRDefault="009D6670" w:rsidP="009D6670">
      <w:pPr>
        <w:jc w:val="center"/>
        <w:rPr>
          <w:b/>
          <w:sz w:val="24"/>
          <w:szCs w:val="24"/>
        </w:rPr>
      </w:pPr>
      <w:r w:rsidRPr="00DE0180">
        <w:rPr>
          <w:b/>
          <w:sz w:val="24"/>
          <w:szCs w:val="24"/>
        </w:rPr>
        <w:t xml:space="preserve">Sajtóközlemény a faktoring ágazat helyzetéről, fejlődési lehetőségeiről </w:t>
      </w:r>
    </w:p>
    <w:p w14:paraId="3A644D4B" w14:textId="77777777" w:rsidR="009D6670" w:rsidRPr="00DE0180" w:rsidRDefault="009D6670" w:rsidP="009D6670">
      <w:pPr>
        <w:jc w:val="center"/>
        <w:rPr>
          <w:b/>
          <w:sz w:val="24"/>
          <w:szCs w:val="24"/>
        </w:rPr>
      </w:pPr>
    </w:p>
    <w:p w14:paraId="5474E78B" w14:textId="7C9891F5" w:rsidR="009D6670" w:rsidRPr="00F13730" w:rsidRDefault="008E7C48" w:rsidP="009D6670">
      <w:pPr>
        <w:rPr>
          <w:b/>
          <w:sz w:val="24"/>
          <w:szCs w:val="24"/>
          <w:u w:val="single"/>
        </w:rPr>
      </w:pPr>
      <w:r w:rsidRPr="00CB22F5">
        <w:rPr>
          <w:b/>
          <w:sz w:val="24"/>
          <w:szCs w:val="24"/>
          <w:u w:val="single"/>
        </w:rPr>
        <w:t>A faktoring piac fejlődése</w:t>
      </w:r>
      <w:r w:rsidR="005B1BA5">
        <w:rPr>
          <w:b/>
          <w:sz w:val="24"/>
          <w:szCs w:val="24"/>
          <w:u w:val="single"/>
        </w:rPr>
        <w:t xml:space="preserve"> 2013-ban</w:t>
      </w:r>
    </w:p>
    <w:p w14:paraId="2E9A6039" w14:textId="77777777" w:rsidR="00F13730" w:rsidRDefault="00F13730" w:rsidP="009272BA">
      <w:pPr>
        <w:jc w:val="both"/>
        <w:rPr>
          <w:i/>
          <w:sz w:val="24"/>
          <w:szCs w:val="24"/>
        </w:rPr>
      </w:pPr>
      <w:r w:rsidRPr="00F13730">
        <w:rPr>
          <w:i/>
          <w:sz w:val="24"/>
          <w:szCs w:val="24"/>
        </w:rPr>
        <w:t>Nemzetközi t</w:t>
      </w:r>
      <w:r>
        <w:rPr>
          <w:i/>
          <w:sz w:val="24"/>
          <w:szCs w:val="24"/>
        </w:rPr>
        <w:t>rendek:</w:t>
      </w:r>
    </w:p>
    <w:p w14:paraId="23E3B0A4" w14:textId="578E73C5" w:rsidR="009D6670" w:rsidRDefault="0060287E" w:rsidP="00BD1AAE">
      <w:pPr>
        <w:spacing w:line="240" w:lineRule="auto"/>
        <w:jc w:val="both"/>
        <w:rPr>
          <w:sz w:val="24"/>
          <w:szCs w:val="24"/>
        </w:rPr>
      </w:pPr>
      <w:r w:rsidRPr="00DE0180">
        <w:rPr>
          <w:sz w:val="24"/>
          <w:szCs w:val="24"/>
        </w:rPr>
        <w:t xml:space="preserve">A </w:t>
      </w:r>
      <w:r w:rsidR="000D1675" w:rsidRPr="00DE0180">
        <w:rPr>
          <w:sz w:val="24"/>
          <w:szCs w:val="24"/>
        </w:rPr>
        <w:t xml:space="preserve">2013. évi és azt megelőző időszak </w:t>
      </w:r>
      <w:r w:rsidRPr="00DE0180">
        <w:rPr>
          <w:sz w:val="24"/>
          <w:szCs w:val="24"/>
        </w:rPr>
        <w:t xml:space="preserve">nemzetközi </w:t>
      </w:r>
      <w:r w:rsidR="000D1675" w:rsidRPr="00DE0180">
        <w:rPr>
          <w:sz w:val="24"/>
          <w:szCs w:val="24"/>
        </w:rPr>
        <w:t>faktoring statisztik</w:t>
      </w:r>
      <w:r w:rsidR="00B92F34" w:rsidRPr="00DE0180">
        <w:rPr>
          <w:sz w:val="24"/>
          <w:szCs w:val="24"/>
        </w:rPr>
        <w:t>ája azt mutatja</w:t>
      </w:r>
      <w:r w:rsidRPr="00DE0180">
        <w:rPr>
          <w:sz w:val="24"/>
          <w:szCs w:val="24"/>
        </w:rPr>
        <w:t xml:space="preserve">, hogy a faktoring ágazat összességében sokkal sikeresebben élte </w:t>
      </w:r>
      <w:r w:rsidR="00F13730">
        <w:rPr>
          <w:sz w:val="24"/>
          <w:szCs w:val="24"/>
        </w:rPr>
        <w:t>meg</w:t>
      </w:r>
      <w:r w:rsidRPr="00DE0180">
        <w:rPr>
          <w:sz w:val="24"/>
          <w:szCs w:val="24"/>
        </w:rPr>
        <w:t xml:space="preserve"> az általános pénzügyi válságot és a rá következő globális recessziót</w:t>
      </w:r>
      <w:r w:rsidR="009272BA" w:rsidRPr="00DE0180">
        <w:rPr>
          <w:sz w:val="24"/>
          <w:szCs w:val="24"/>
        </w:rPr>
        <w:t>,</w:t>
      </w:r>
      <w:r w:rsidRPr="00DE0180">
        <w:rPr>
          <w:sz w:val="24"/>
          <w:szCs w:val="24"/>
        </w:rPr>
        <w:t xml:space="preserve"> mint az egyéb pénzügyi szolgáltatást kínáló szektorok. A világ faktoring forga</w:t>
      </w:r>
      <w:r w:rsidR="007032C5">
        <w:rPr>
          <w:sz w:val="24"/>
          <w:szCs w:val="24"/>
        </w:rPr>
        <w:t>lma közel 5 %-kal bővült 2013-b</w:t>
      </w:r>
      <w:r w:rsidR="00CB22F5">
        <w:rPr>
          <w:sz w:val="24"/>
          <w:szCs w:val="24"/>
        </w:rPr>
        <w:t>a</w:t>
      </w:r>
      <w:r w:rsidR="007032C5">
        <w:rPr>
          <w:sz w:val="24"/>
          <w:szCs w:val="24"/>
        </w:rPr>
        <w:t>n</w:t>
      </w:r>
      <w:r w:rsidR="007032C5">
        <w:rPr>
          <w:rStyle w:val="Lbjegyzet-hivatkozs"/>
          <w:sz w:val="24"/>
          <w:szCs w:val="24"/>
        </w:rPr>
        <w:footnoteReference w:id="1"/>
      </w:r>
      <w:r w:rsidR="007032C5">
        <w:rPr>
          <w:sz w:val="24"/>
          <w:szCs w:val="24"/>
        </w:rPr>
        <w:t xml:space="preserve"> a</w:t>
      </w:r>
      <w:r w:rsidR="00CB22F5">
        <w:rPr>
          <w:sz w:val="24"/>
          <w:szCs w:val="24"/>
        </w:rPr>
        <w:t xml:space="preserve"> megelőző esztendőhöz képest. </w:t>
      </w:r>
      <w:r w:rsidRPr="00DE0180">
        <w:rPr>
          <w:sz w:val="24"/>
          <w:szCs w:val="24"/>
        </w:rPr>
        <w:t xml:space="preserve">Európában, amely a világ faktoring forgalmának 60 %-át adja, </w:t>
      </w:r>
      <w:r w:rsidR="009272BA" w:rsidRPr="00DE0180">
        <w:rPr>
          <w:sz w:val="24"/>
          <w:szCs w:val="24"/>
        </w:rPr>
        <w:t xml:space="preserve">bő </w:t>
      </w:r>
      <w:r w:rsidRPr="00DE0180">
        <w:rPr>
          <w:sz w:val="24"/>
          <w:szCs w:val="24"/>
        </w:rPr>
        <w:t xml:space="preserve">4 %-os volt a növekedés. </w:t>
      </w:r>
      <w:r w:rsidR="002F68F2">
        <w:rPr>
          <w:sz w:val="24"/>
          <w:szCs w:val="24"/>
        </w:rPr>
        <w:t>Nagyobb visszatekintésben</w:t>
      </w:r>
      <w:r w:rsidR="00E110A8">
        <w:rPr>
          <w:sz w:val="24"/>
          <w:szCs w:val="24"/>
        </w:rPr>
        <w:t xml:space="preserve"> mindenféle válságot meghazudtoló </w:t>
      </w:r>
      <w:r w:rsidR="00F13730">
        <w:rPr>
          <w:sz w:val="24"/>
          <w:szCs w:val="24"/>
        </w:rPr>
        <w:t>páratlan fejlődési</w:t>
      </w:r>
      <w:r w:rsidR="001401EC" w:rsidRPr="00DE0180">
        <w:rPr>
          <w:sz w:val="24"/>
          <w:szCs w:val="24"/>
        </w:rPr>
        <w:t xml:space="preserve"> d</w:t>
      </w:r>
      <w:r w:rsidR="009272BA" w:rsidRPr="00DE0180">
        <w:rPr>
          <w:sz w:val="24"/>
          <w:szCs w:val="24"/>
        </w:rPr>
        <w:t>inamika mutatkozik. A</w:t>
      </w:r>
      <w:r w:rsidR="002F68F2">
        <w:rPr>
          <w:sz w:val="24"/>
          <w:szCs w:val="24"/>
        </w:rPr>
        <w:t>z elmúlt 5 évben a</w:t>
      </w:r>
      <w:r w:rsidR="009272BA" w:rsidRPr="00DE0180">
        <w:rPr>
          <w:sz w:val="24"/>
          <w:szCs w:val="24"/>
        </w:rPr>
        <w:t xml:space="preserve"> világ</w:t>
      </w:r>
      <w:r w:rsidR="001401EC" w:rsidRPr="00DE0180">
        <w:rPr>
          <w:sz w:val="24"/>
          <w:szCs w:val="24"/>
        </w:rPr>
        <w:t xml:space="preserve"> faktoring piac</w:t>
      </w:r>
      <w:r w:rsidR="009272BA" w:rsidRPr="00DE0180">
        <w:rPr>
          <w:sz w:val="24"/>
          <w:szCs w:val="24"/>
        </w:rPr>
        <w:t>a</w:t>
      </w:r>
      <w:r w:rsidR="001401EC" w:rsidRPr="00DE0180">
        <w:rPr>
          <w:sz w:val="24"/>
          <w:szCs w:val="24"/>
        </w:rPr>
        <w:t xml:space="preserve"> 7</w:t>
      </w:r>
      <w:r w:rsidR="009272BA" w:rsidRPr="00DE0180">
        <w:rPr>
          <w:sz w:val="24"/>
          <w:szCs w:val="24"/>
        </w:rPr>
        <w:t xml:space="preserve">4 %-kal, </w:t>
      </w:r>
      <w:r w:rsidR="00F13730">
        <w:rPr>
          <w:sz w:val="24"/>
          <w:szCs w:val="24"/>
        </w:rPr>
        <w:t xml:space="preserve">míg </w:t>
      </w:r>
      <w:r w:rsidR="009272BA" w:rsidRPr="00DE0180">
        <w:rPr>
          <w:sz w:val="24"/>
          <w:szCs w:val="24"/>
        </w:rPr>
        <w:t>az európai pedig 54 %</w:t>
      </w:r>
      <w:r w:rsidR="001401EC" w:rsidRPr="00DE0180">
        <w:rPr>
          <w:sz w:val="24"/>
          <w:szCs w:val="24"/>
        </w:rPr>
        <w:t>-kal</w:t>
      </w:r>
      <w:r w:rsidR="00F13730" w:rsidRPr="00F13730">
        <w:rPr>
          <w:sz w:val="24"/>
          <w:szCs w:val="24"/>
        </w:rPr>
        <w:t xml:space="preserve"> </w:t>
      </w:r>
      <w:r w:rsidR="00F13730" w:rsidRPr="00DE0180">
        <w:rPr>
          <w:sz w:val="24"/>
          <w:szCs w:val="24"/>
        </w:rPr>
        <w:t>bővült</w:t>
      </w:r>
      <w:r w:rsidR="009272BA" w:rsidRPr="00DE0180">
        <w:rPr>
          <w:sz w:val="24"/>
          <w:szCs w:val="24"/>
        </w:rPr>
        <w:t xml:space="preserve">. </w:t>
      </w:r>
      <w:r w:rsidR="00E110A8">
        <w:rPr>
          <w:sz w:val="24"/>
          <w:szCs w:val="24"/>
        </w:rPr>
        <w:t>A globális adatok rendkívüli dinamikája</w:t>
      </w:r>
      <w:r w:rsidR="009272BA" w:rsidRPr="00DE0180">
        <w:rPr>
          <w:sz w:val="24"/>
          <w:szCs w:val="24"/>
        </w:rPr>
        <w:t xml:space="preserve"> a kínai </w:t>
      </w:r>
      <w:r w:rsidR="00B92F34" w:rsidRPr="00DE0180">
        <w:rPr>
          <w:sz w:val="24"/>
          <w:szCs w:val="24"/>
        </w:rPr>
        <w:t xml:space="preserve">faktoring </w:t>
      </w:r>
      <w:r w:rsidR="009272BA" w:rsidRPr="00DE0180">
        <w:rPr>
          <w:sz w:val="24"/>
          <w:szCs w:val="24"/>
        </w:rPr>
        <w:t>ága</w:t>
      </w:r>
      <w:r w:rsidR="00E110A8">
        <w:rPr>
          <w:sz w:val="24"/>
          <w:szCs w:val="24"/>
        </w:rPr>
        <w:t>zat egyedülálló felfutásának köszönhető</w:t>
      </w:r>
      <w:r w:rsidR="009272BA" w:rsidRPr="00DE0180">
        <w:rPr>
          <w:sz w:val="24"/>
          <w:szCs w:val="24"/>
        </w:rPr>
        <w:t>, ahol öt és félszeres növekedés valósult meg az elmúlt öt évben. Kína</w:t>
      </w:r>
      <w:r w:rsidR="00E110A8">
        <w:rPr>
          <w:sz w:val="24"/>
          <w:szCs w:val="24"/>
        </w:rPr>
        <w:t xml:space="preserve"> immár</w:t>
      </w:r>
      <w:r w:rsidR="009272BA" w:rsidRPr="00DE0180">
        <w:rPr>
          <w:sz w:val="24"/>
          <w:szCs w:val="24"/>
        </w:rPr>
        <w:t xml:space="preserve"> megelőz</w:t>
      </w:r>
      <w:r w:rsidR="00E110A8">
        <w:rPr>
          <w:sz w:val="24"/>
          <w:szCs w:val="24"/>
        </w:rPr>
        <w:t>t</w:t>
      </w:r>
      <w:r w:rsidR="009272BA" w:rsidRPr="00DE0180">
        <w:rPr>
          <w:sz w:val="24"/>
          <w:szCs w:val="24"/>
        </w:rPr>
        <w:t xml:space="preserve">e </w:t>
      </w:r>
      <w:r w:rsidR="00E110A8">
        <w:rPr>
          <w:sz w:val="24"/>
          <w:szCs w:val="24"/>
        </w:rPr>
        <w:t>az eddig vit</w:t>
      </w:r>
      <w:r w:rsidR="00EC624D">
        <w:rPr>
          <w:sz w:val="24"/>
          <w:szCs w:val="24"/>
        </w:rPr>
        <w:t>athatatlan faktoring nagyhatalmat;</w:t>
      </w:r>
      <w:r w:rsidR="00E110A8">
        <w:rPr>
          <w:sz w:val="24"/>
          <w:szCs w:val="24"/>
        </w:rPr>
        <w:t xml:space="preserve"> Angliát és</w:t>
      </w:r>
      <w:r w:rsidR="009272BA" w:rsidRPr="00DE0180">
        <w:rPr>
          <w:sz w:val="24"/>
          <w:szCs w:val="24"/>
        </w:rPr>
        <w:t xml:space="preserve"> világelső lett e szektorban.</w:t>
      </w:r>
    </w:p>
    <w:p w14:paraId="7FE3EA23" w14:textId="4246B7E7" w:rsidR="00E110A8" w:rsidRPr="00F13730" w:rsidRDefault="00E110A8" w:rsidP="00BD1AAE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Az európai piac bővülése elsősorban a legfejlettebb piacgazdasági szerkezettel rendelkező erős országoknak, Németország</w:t>
      </w:r>
      <w:r w:rsidR="008B0E05">
        <w:rPr>
          <w:sz w:val="24"/>
          <w:szCs w:val="24"/>
        </w:rPr>
        <w:t>nak, Franciaországnak, Ausztriának</w:t>
      </w:r>
      <w:r>
        <w:rPr>
          <w:sz w:val="24"/>
          <w:szCs w:val="24"/>
        </w:rPr>
        <w:t>, Nagy Britanniának valamint a feltörekvő, exportorientált gazdaságok</w:t>
      </w:r>
      <w:r w:rsidR="008B0E05">
        <w:rPr>
          <w:sz w:val="24"/>
          <w:szCs w:val="24"/>
        </w:rPr>
        <w:t xml:space="preserve"> közül elsősorban Lengyelországnak és</w:t>
      </w:r>
      <w:r>
        <w:rPr>
          <w:sz w:val="24"/>
          <w:szCs w:val="24"/>
        </w:rPr>
        <w:t xml:space="preserve"> Oroszország</w:t>
      </w:r>
      <w:r w:rsidR="008B0E05">
        <w:rPr>
          <w:sz w:val="24"/>
          <w:szCs w:val="24"/>
        </w:rPr>
        <w:t xml:space="preserve">nak köszönhető. Ez utóbbiaknál </w:t>
      </w:r>
      <w:r w:rsidR="00502C45">
        <w:rPr>
          <w:sz w:val="24"/>
          <w:szCs w:val="24"/>
        </w:rPr>
        <w:t>évi kétszá</w:t>
      </w:r>
      <w:r w:rsidR="008B0E05">
        <w:rPr>
          <w:sz w:val="24"/>
          <w:szCs w:val="24"/>
        </w:rPr>
        <w:t>mjegyű növekedés volt jellemző</w:t>
      </w:r>
      <w:r w:rsidR="00502C45">
        <w:rPr>
          <w:sz w:val="24"/>
          <w:szCs w:val="24"/>
        </w:rPr>
        <w:t>. A kelet-európai országok növekedésében jelentős különbségek mutatkoznak, amelyben sajnos Magyarország inkább az átlagot rontó számokat tud felmutatni.</w:t>
      </w:r>
    </w:p>
    <w:p w14:paraId="7C12B37A" w14:textId="5D7156F7" w:rsidR="00744B2F" w:rsidRPr="00744B2F" w:rsidRDefault="00744B2F" w:rsidP="009272BA">
      <w:pPr>
        <w:jc w:val="both"/>
        <w:rPr>
          <w:i/>
          <w:sz w:val="24"/>
          <w:szCs w:val="24"/>
        </w:rPr>
      </w:pPr>
      <w:r w:rsidRPr="00744B2F">
        <w:rPr>
          <w:i/>
          <w:sz w:val="24"/>
          <w:szCs w:val="24"/>
        </w:rPr>
        <w:t>Hazai faktoring piac 2013:</w:t>
      </w:r>
    </w:p>
    <w:p w14:paraId="18711365" w14:textId="5A4B5600" w:rsidR="002C3D2A" w:rsidRPr="00DE0180" w:rsidRDefault="009272BA" w:rsidP="00BD1AAE">
      <w:pPr>
        <w:spacing w:line="240" w:lineRule="auto"/>
        <w:jc w:val="both"/>
        <w:rPr>
          <w:sz w:val="24"/>
          <w:szCs w:val="24"/>
        </w:rPr>
      </w:pPr>
      <w:r w:rsidRPr="00DE0180">
        <w:rPr>
          <w:sz w:val="24"/>
          <w:szCs w:val="24"/>
        </w:rPr>
        <w:t>A</w:t>
      </w:r>
      <w:r w:rsidR="00502C45">
        <w:rPr>
          <w:sz w:val="24"/>
          <w:szCs w:val="24"/>
        </w:rPr>
        <w:t xml:space="preserve"> nemzetközi trendekkel ellentétben </w:t>
      </w:r>
      <w:r w:rsidR="00744B2F">
        <w:rPr>
          <w:sz w:val="24"/>
          <w:szCs w:val="24"/>
        </w:rPr>
        <w:t xml:space="preserve">a hazai </w:t>
      </w:r>
      <w:r w:rsidR="002F68F2">
        <w:rPr>
          <w:sz w:val="24"/>
          <w:szCs w:val="24"/>
        </w:rPr>
        <w:t>piac egésze</w:t>
      </w:r>
      <w:r w:rsidR="00744B2F">
        <w:rPr>
          <w:sz w:val="24"/>
          <w:szCs w:val="24"/>
        </w:rPr>
        <w:t xml:space="preserve"> nem tud az európai számokhoz hasonló fejlődés</w:t>
      </w:r>
      <w:r w:rsidR="002F68F2">
        <w:rPr>
          <w:sz w:val="24"/>
          <w:szCs w:val="24"/>
        </w:rPr>
        <w:t>ről beszámolni</w:t>
      </w:r>
      <w:r w:rsidR="00744B2F">
        <w:rPr>
          <w:sz w:val="24"/>
          <w:szCs w:val="24"/>
        </w:rPr>
        <w:t>. A</w:t>
      </w:r>
      <w:r w:rsidRPr="00DE0180">
        <w:rPr>
          <w:sz w:val="24"/>
          <w:szCs w:val="24"/>
        </w:rPr>
        <w:t xml:space="preserve"> </w:t>
      </w:r>
      <w:r w:rsidR="00744B2F">
        <w:rPr>
          <w:sz w:val="24"/>
          <w:szCs w:val="24"/>
        </w:rPr>
        <w:t>magyar vállalkozásoknak lebonyolított</w:t>
      </w:r>
      <w:r w:rsidRPr="00DE0180">
        <w:rPr>
          <w:sz w:val="24"/>
          <w:szCs w:val="24"/>
        </w:rPr>
        <w:t xml:space="preserve"> </w:t>
      </w:r>
      <w:r w:rsidR="002C3D2A" w:rsidRPr="00DE0180">
        <w:rPr>
          <w:sz w:val="24"/>
          <w:szCs w:val="24"/>
        </w:rPr>
        <w:t xml:space="preserve">bruttó faktorált forgalom </w:t>
      </w:r>
      <w:r w:rsidR="00502C45">
        <w:rPr>
          <w:sz w:val="24"/>
          <w:szCs w:val="24"/>
        </w:rPr>
        <w:t xml:space="preserve">2013-ban </w:t>
      </w:r>
      <w:r w:rsidR="002F68F2">
        <w:rPr>
          <w:sz w:val="24"/>
          <w:szCs w:val="24"/>
        </w:rPr>
        <w:t>8%-kal csökkent</w:t>
      </w:r>
      <w:r w:rsidR="00D009DD">
        <w:rPr>
          <w:sz w:val="24"/>
          <w:szCs w:val="24"/>
        </w:rPr>
        <w:t>, gyakorlatilag</w:t>
      </w:r>
      <w:r w:rsidR="00502C45">
        <w:rPr>
          <w:sz w:val="24"/>
          <w:szCs w:val="24"/>
        </w:rPr>
        <w:t xml:space="preserve"> a 200</w:t>
      </w:r>
      <w:r w:rsidR="00744B2F">
        <w:rPr>
          <w:sz w:val="24"/>
          <w:szCs w:val="24"/>
        </w:rPr>
        <w:t>7</w:t>
      </w:r>
      <w:r w:rsidR="00502C45">
        <w:rPr>
          <w:sz w:val="24"/>
          <w:szCs w:val="24"/>
        </w:rPr>
        <w:t>-es szinte</w:t>
      </w:r>
      <w:r w:rsidR="00D009DD">
        <w:rPr>
          <w:sz w:val="24"/>
          <w:szCs w:val="24"/>
        </w:rPr>
        <w:t>n van</w:t>
      </w:r>
      <w:r w:rsidR="00502C45">
        <w:rPr>
          <w:sz w:val="24"/>
          <w:szCs w:val="24"/>
        </w:rPr>
        <w:t xml:space="preserve">. </w:t>
      </w:r>
    </w:p>
    <w:p w14:paraId="72FBBBAA" w14:textId="77777777" w:rsidR="002C3D2A" w:rsidRPr="00DE0180" w:rsidRDefault="007129B9" w:rsidP="007129B9">
      <w:pPr>
        <w:jc w:val="center"/>
        <w:rPr>
          <w:sz w:val="24"/>
          <w:szCs w:val="24"/>
        </w:rPr>
      </w:pPr>
      <w:r w:rsidRPr="00DE0180">
        <w:rPr>
          <w:noProof/>
          <w:sz w:val="24"/>
          <w:szCs w:val="24"/>
          <w:lang w:eastAsia="hu-HU"/>
        </w:rPr>
        <w:drawing>
          <wp:inline distT="0" distB="0" distL="0" distR="0" wp14:anchorId="6A9F3A3E" wp14:editId="798A3C34">
            <wp:extent cx="4320000" cy="2520000"/>
            <wp:effectExtent l="0" t="0" r="4445" b="1397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7AEB64" w14:textId="7B0F1858" w:rsidR="00627EB7" w:rsidRDefault="007808CE" w:rsidP="00BD1AA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válság első éveiben a nemzetközi (főleg export) faktoring forgalom kétszámjegyű dinamikát mutatott és ellensúlyozta a csökkenő, stagnáló belföldi forgalmat. Sajnos a növekedési trend 2012-ben megtört és az </w:t>
      </w:r>
      <w:r w:rsidR="00627EB7">
        <w:rPr>
          <w:sz w:val="24"/>
          <w:szCs w:val="24"/>
        </w:rPr>
        <w:t>exportkövetelések</w:t>
      </w:r>
      <w:r>
        <w:rPr>
          <w:sz w:val="24"/>
          <w:szCs w:val="24"/>
        </w:rPr>
        <w:t xml:space="preserve"> faktorálása 2013-ban 9%-kal csökkent. </w:t>
      </w:r>
    </w:p>
    <w:p w14:paraId="3C916B5A" w14:textId="1FA5FF43" w:rsidR="00627EB7" w:rsidRDefault="00627EB7" w:rsidP="00BD1AA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követelések 37%-a olyan faktoring konstrukcióban került megfinanszírozásra, ahol a faktor vállalta a vevő nemfizetéséből eredő veszteség kockázatát. A visszkereset-mentes finanszírozás aránya évről–évre nő, amely tükrözi az ügyfelek piaci óvatosságát és növekvő igényét a nagyobb pénzügyi biztonság megteremtésére.</w:t>
      </w:r>
    </w:p>
    <w:p w14:paraId="3E5B5986" w14:textId="3FA51E8A" w:rsidR="007129B9" w:rsidRPr="00DE0180" w:rsidRDefault="00D009DD" w:rsidP="00BD1AA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finanszírozás átlagos volumene az utóbbi 5 évben </w:t>
      </w:r>
      <w:r w:rsidR="00DF5F3E">
        <w:rPr>
          <w:sz w:val="24"/>
          <w:szCs w:val="24"/>
        </w:rPr>
        <w:t>hol csökkent, hol növekedett, összességében egy lassan emelkedő</w:t>
      </w:r>
      <w:r>
        <w:rPr>
          <w:sz w:val="24"/>
          <w:szCs w:val="24"/>
        </w:rPr>
        <w:t xml:space="preserve"> trendvonalat mutatott</w:t>
      </w:r>
      <w:r w:rsidR="00DF5F3E">
        <w:rPr>
          <w:sz w:val="24"/>
          <w:szCs w:val="24"/>
        </w:rPr>
        <w:t>. E</w:t>
      </w:r>
      <w:r>
        <w:rPr>
          <w:sz w:val="24"/>
          <w:szCs w:val="24"/>
        </w:rPr>
        <w:t>z a KKV szektor éven belüli forgóeszköz finanszírozásnak jelentős csökkenéséhez viszonyítva pozitív jelentést</w:t>
      </w:r>
      <w:r w:rsidR="00DF5F3E" w:rsidRPr="00DF5F3E">
        <w:rPr>
          <w:sz w:val="24"/>
          <w:szCs w:val="24"/>
        </w:rPr>
        <w:t xml:space="preserve"> </w:t>
      </w:r>
      <w:r w:rsidR="00DF5F3E">
        <w:rPr>
          <w:sz w:val="24"/>
          <w:szCs w:val="24"/>
        </w:rPr>
        <w:t>hordoz</w:t>
      </w:r>
      <w:r>
        <w:rPr>
          <w:sz w:val="24"/>
          <w:szCs w:val="24"/>
        </w:rPr>
        <w:t xml:space="preserve">, a nemzetközi, illetve a környező országok fejlődési trendjeihez képest </w:t>
      </w:r>
      <w:r w:rsidR="00DF5F3E">
        <w:rPr>
          <w:sz w:val="24"/>
          <w:szCs w:val="24"/>
        </w:rPr>
        <w:t xml:space="preserve">azonban </w:t>
      </w:r>
      <w:r>
        <w:rPr>
          <w:sz w:val="24"/>
          <w:szCs w:val="24"/>
        </w:rPr>
        <w:t xml:space="preserve">nem. </w:t>
      </w:r>
    </w:p>
    <w:p w14:paraId="4A9BC964" w14:textId="77777777" w:rsidR="007A0176" w:rsidRPr="00DE0180" w:rsidRDefault="007A0176" w:rsidP="00CB22F5">
      <w:pPr>
        <w:spacing w:line="240" w:lineRule="auto"/>
        <w:jc w:val="center"/>
        <w:rPr>
          <w:b/>
          <w:color w:val="ED7D31" w:themeColor="accent2"/>
          <w:sz w:val="24"/>
          <w:szCs w:val="24"/>
        </w:rPr>
      </w:pPr>
      <w:r w:rsidRPr="00DE0180">
        <w:rPr>
          <w:b/>
          <w:sz w:val="24"/>
          <w:szCs w:val="24"/>
        </w:rPr>
        <w:t>Kihelyezett állomány 2009-2013 között, mrd. HUF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843"/>
        <w:gridCol w:w="1417"/>
      </w:tblGrid>
      <w:tr w:rsidR="005128CD" w:rsidRPr="00DE0180" w14:paraId="00E04A8F" w14:textId="77777777" w:rsidTr="00CB4E28">
        <w:trPr>
          <w:jc w:val="center"/>
        </w:trPr>
        <w:tc>
          <w:tcPr>
            <w:tcW w:w="1242" w:type="dxa"/>
          </w:tcPr>
          <w:p w14:paraId="5589CB5B" w14:textId="77777777" w:rsidR="007A0176" w:rsidRPr="00DE0180" w:rsidRDefault="007A0176" w:rsidP="00CB4E28">
            <w:pPr>
              <w:jc w:val="both"/>
              <w:rPr>
                <w:b/>
                <w:i/>
                <w:color w:val="ED7D31" w:themeColor="accent2"/>
                <w:sz w:val="24"/>
                <w:szCs w:val="24"/>
              </w:rPr>
            </w:pPr>
            <w:r w:rsidRPr="00DE0180">
              <w:rPr>
                <w:b/>
                <w:i/>
                <w:color w:val="ED7D31" w:themeColor="accent2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224B4D95" w14:textId="77777777" w:rsidR="007A0176" w:rsidRPr="00DE0180" w:rsidRDefault="007A0176" w:rsidP="00CB4E28">
            <w:pPr>
              <w:jc w:val="both"/>
              <w:rPr>
                <w:b/>
                <w:i/>
                <w:color w:val="ED7D31" w:themeColor="accent2"/>
                <w:sz w:val="24"/>
                <w:szCs w:val="24"/>
              </w:rPr>
            </w:pPr>
            <w:r w:rsidRPr="00DE0180">
              <w:rPr>
                <w:b/>
                <w:i/>
                <w:color w:val="ED7D31" w:themeColor="accent2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14:paraId="3DEC19B5" w14:textId="77777777" w:rsidR="007A0176" w:rsidRPr="00DE0180" w:rsidRDefault="007A0176" w:rsidP="00CB4E28">
            <w:pPr>
              <w:jc w:val="both"/>
              <w:rPr>
                <w:b/>
                <w:i/>
                <w:color w:val="ED7D31" w:themeColor="accent2"/>
                <w:sz w:val="24"/>
                <w:szCs w:val="24"/>
              </w:rPr>
            </w:pPr>
            <w:r w:rsidRPr="00DE0180">
              <w:rPr>
                <w:b/>
                <w:i/>
                <w:color w:val="ED7D31" w:themeColor="accent2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14:paraId="25A300A8" w14:textId="77777777" w:rsidR="007A0176" w:rsidRPr="00DE0180" w:rsidRDefault="007A0176" w:rsidP="00CB4E28">
            <w:pPr>
              <w:jc w:val="both"/>
              <w:rPr>
                <w:b/>
                <w:i/>
                <w:color w:val="ED7D31" w:themeColor="accent2"/>
                <w:sz w:val="24"/>
                <w:szCs w:val="24"/>
              </w:rPr>
            </w:pPr>
            <w:r w:rsidRPr="00DE0180">
              <w:rPr>
                <w:b/>
                <w:i/>
                <w:color w:val="ED7D31" w:themeColor="accent2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14:paraId="795D06F1" w14:textId="77777777" w:rsidR="007A0176" w:rsidRPr="00DE0180" w:rsidRDefault="007A0176" w:rsidP="00CB4E28">
            <w:pPr>
              <w:jc w:val="both"/>
              <w:rPr>
                <w:b/>
                <w:i/>
                <w:color w:val="ED7D31" w:themeColor="accent2"/>
                <w:sz w:val="24"/>
                <w:szCs w:val="24"/>
              </w:rPr>
            </w:pPr>
            <w:r w:rsidRPr="00DE0180">
              <w:rPr>
                <w:b/>
                <w:i/>
                <w:color w:val="ED7D31" w:themeColor="accent2"/>
                <w:sz w:val="24"/>
                <w:szCs w:val="24"/>
              </w:rPr>
              <w:t>2013</w:t>
            </w:r>
          </w:p>
        </w:tc>
      </w:tr>
      <w:tr w:rsidR="007A0176" w:rsidRPr="00DE0180" w14:paraId="36426D8D" w14:textId="77777777" w:rsidTr="00CB4E28">
        <w:trPr>
          <w:jc w:val="center"/>
        </w:trPr>
        <w:tc>
          <w:tcPr>
            <w:tcW w:w="1242" w:type="dxa"/>
          </w:tcPr>
          <w:p w14:paraId="3798FEEE" w14:textId="77777777" w:rsidR="007A0176" w:rsidRPr="00DE0180" w:rsidRDefault="007A0176" w:rsidP="00CB4E28">
            <w:pPr>
              <w:jc w:val="both"/>
              <w:rPr>
                <w:b/>
                <w:sz w:val="24"/>
                <w:szCs w:val="24"/>
              </w:rPr>
            </w:pPr>
            <w:r w:rsidRPr="00DE018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14:paraId="0378C609" w14:textId="77777777" w:rsidR="007A0176" w:rsidRPr="00DE0180" w:rsidRDefault="007A0176" w:rsidP="00CB4E28">
            <w:pPr>
              <w:jc w:val="both"/>
              <w:rPr>
                <w:b/>
                <w:sz w:val="24"/>
                <w:szCs w:val="24"/>
              </w:rPr>
            </w:pPr>
            <w:r w:rsidRPr="00DE0180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14:paraId="4B51F07B" w14:textId="77777777" w:rsidR="007A0176" w:rsidRPr="00DE0180" w:rsidRDefault="007A0176" w:rsidP="00CB4E28">
            <w:pPr>
              <w:jc w:val="both"/>
              <w:rPr>
                <w:b/>
                <w:sz w:val="24"/>
                <w:szCs w:val="24"/>
              </w:rPr>
            </w:pPr>
            <w:r w:rsidRPr="00DE018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218374C7" w14:textId="77777777" w:rsidR="007A0176" w:rsidRPr="00DE0180" w:rsidRDefault="007A0176" w:rsidP="00CB4E28">
            <w:pPr>
              <w:jc w:val="both"/>
              <w:rPr>
                <w:b/>
                <w:sz w:val="24"/>
                <w:szCs w:val="24"/>
              </w:rPr>
            </w:pPr>
            <w:r w:rsidRPr="00DE0180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14:paraId="4B23C4D1" w14:textId="77777777" w:rsidR="007A0176" w:rsidRPr="00DE0180" w:rsidRDefault="007A0176" w:rsidP="00CB4E28">
            <w:pPr>
              <w:jc w:val="both"/>
              <w:rPr>
                <w:b/>
                <w:sz w:val="24"/>
                <w:szCs w:val="24"/>
              </w:rPr>
            </w:pPr>
            <w:r w:rsidRPr="00DE0180">
              <w:rPr>
                <w:b/>
                <w:sz w:val="24"/>
                <w:szCs w:val="24"/>
              </w:rPr>
              <w:t>117</w:t>
            </w:r>
          </w:p>
        </w:tc>
      </w:tr>
    </w:tbl>
    <w:p w14:paraId="2D719C15" w14:textId="77777777" w:rsidR="007A0176" w:rsidRPr="00DE0180" w:rsidRDefault="007A0176" w:rsidP="007A0176">
      <w:pPr>
        <w:spacing w:line="240" w:lineRule="auto"/>
        <w:jc w:val="both"/>
        <w:rPr>
          <w:sz w:val="24"/>
          <w:szCs w:val="24"/>
        </w:rPr>
      </w:pPr>
    </w:p>
    <w:p w14:paraId="4515952C" w14:textId="4FF1A3DD" w:rsidR="005E1394" w:rsidRPr="00DE0180" w:rsidRDefault="007A0176" w:rsidP="00BD1AAE">
      <w:pPr>
        <w:spacing w:line="240" w:lineRule="auto"/>
        <w:jc w:val="both"/>
        <w:rPr>
          <w:sz w:val="24"/>
          <w:szCs w:val="24"/>
        </w:rPr>
      </w:pPr>
      <w:r w:rsidRPr="00DE0180">
        <w:rPr>
          <w:sz w:val="24"/>
          <w:szCs w:val="24"/>
        </w:rPr>
        <w:t>Az elmúlt években a faktoring volt az egyetlen finanszírozási konstrukció, am</w:t>
      </w:r>
      <w:r w:rsidR="00B92F34" w:rsidRPr="00DE0180">
        <w:rPr>
          <w:sz w:val="24"/>
          <w:szCs w:val="24"/>
        </w:rPr>
        <w:t>ely</w:t>
      </w:r>
      <w:r w:rsidRPr="00DE0180">
        <w:rPr>
          <w:sz w:val="24"/>
          <w:szCs w:val="24"/>
        </w:rPr>
        <w:t xml:space="preserve"> </w:t>
      </w:r>
      <w:r w:rsidR="00DF5F3E">
        <w:rPr>
          <w:sz w:val="24"/>
          <w:szCs w:val="24"/>
        </w:rPr>
        <w:t xml:space="preserve">- különösen az elmúlt 2 évben - </w:t>
      </w:r>
      <w:r w:rsidRPr="00DE0180">
        <w:rPr>
          <w:sz w:val="24"/>
          <w:szCs w:val="24"/>
        </w:rPr>
        <w:t>növekvő állománnyal tudta finanszírozni ügyfeleit</w:t>
      </w:r>
      <w:r w:rsidR="00DF5F3E">
        <w:rPr>
          <w:sz w:val="24"/>
          <w:szCs w:val="24"/>
        </w:rPr>
        <w:t>. A finanszírozási állomány 2013-ban közel 6%-kal növekedett. A</w:t>
      </w:r>
      <w:r w:rsidRPr="00DE0180">
        <w:rPr>
          <w:sz w:val="24"/>
          <w:szCs w:val="24"/>
        </w:rPr>
        <w:t xml:space="preserve"> faktoring részaránya a KKV-k éven belüli forgóeszköz finanszírozásában </w:t>
      </w:r>
      <w:r w:rsidR="00DF5F3E">
        <w:rPr>
          <w:sz w:val="24"/>
          <w:szCs w:val="24"/>
        </w:rPr>
        <w:t>tovább</w:t>
      </w:r>
      <w:r w:rsidRPr="00DE0180">
        <w:rPr>
          <w:sz w:val="24"/>
          <w:szCs w:val="24"/>
        </w:rPr>
        <w:t xml:space="preserve"> </w:t>
      </w:r>
      <w:r w:rsidR="00BD1AAE">
        <w:rPr>
          <w:sz w:val="24"/>
          <w:szCs w:val="24"/>
        </w:rPr>
        <w:t>emel</w:t>
      </w:r>
      <w:r w:rsidRPr="00DE0180">
        <w:rPr>
          <w:sz w:val="24"/>
          <w:szCs w:val="24"/>
        </w:rPr>
        <w:t>kedett, és a becslések szerint összege a teljes finanszírozási volumen 15%-a körül alakul.</w:t>
      </w:r>
      <w:r w:rsidR="00B92F34" w:rsidRPr="00DE0180">
        <w:rPr>
          <w:sz w:val="24"/>
          <w:szCs w:val="24"/>
        </w:rPr>
        <w:t xml:space="preserve"> </w:t>
      </w:r>
      <w:r w:rsidR="005E1394" w:rsidRPr="00DE0180">
        <w:rPr>
          <w:rFonts w:eastAsia="Times New Roman" w:cs="Times New Roman"/>
          <w:sz w:val="24"/>
          <w:szCs w:val="24"/>
          <w:lang w:eastAsia="hu-HU"/>
        </w:rPr>
        <w:t xml:space="preserve">A faktoring fenti adatokkal </w:t>
      </w:r>
      <w:r w:rsidR="00B92F34" w:rsidRPr="00DE0180">
        <w:rPr>
          <w:rFonts w:eastAsia="Times New Roman" w:cs="Times New Roman"/>
          <w:sz w:val="24"/>
          <w:szCs w:val="24"/>
          <w:lang w:eastAsia="hu-HU"/>
        </w:rPr>
        <w:t xml:space="preserve">is </w:t>
      </w:r>
      <w:r w:rsidR="005E1394" w:rsidRPr="00DE0180">
        <w:rPr>
          <w:rFonts w:eastAsia="Times New Roman" w:cs="Times New Roman"/>
          <w:sz w:val="24"/>
          <w:szCs w:val="24"/>
          <w:lang w:eastAsia="hu-HU"/>
        </w:rPr>
        <w:t xml:space="preserve">igazolható „válságállóságát” a faktoring eszközalapú finanszírozási konstrukciója és a faktornak a vállalkozással való szoros együttműködése és eljárásai alapozzák meg. Az igénybevételt könnyítette, hogy a faktoring költségei a verseny következtében az elmúlt években jelentősen csökkentek. </w:t>
      </w:r>
    </w:p>
    <w:p w14:paraId="3DAFDFBD" w14:textId="77777777" w:rsidR="007A0176" w:rsidRPr="00DE0180" w:rsidRDefault="007A0176" w:rsidP="007A0176">
      <w:pPr>
        <w:spacing w:after="0" w:line="240" w:lineRule="auto"/>
        <w:jc w:val="both"/>
        <w:rPr>
          <w:sz w:val="24"/>
          <w:szCs w:val="24"/>
        </w:rPr>
      </w:pPr>
    </w:p>
    <w:p w14:paraId="6FCA6EDB" w14:textId="38D13AB4" w:rsidR="007129B9" w:rsidRPr="007808CE" w:rsidRDefault="008E7C48" w:rsidP="007808C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B22F5">
        <w:rPr>
          <w:b/>
          <w:sz w:val="24"/>
          <w:szCs w:val="24"/>
          <w:u w:val="single"/>
        </w:rPr>
        <w:t>Ügyfélkör</w:t>
      </w:r>
    </w:p>
    <w:p w14:paraId="440BAE5C" w14:textId="77777777" w:rsidR="007129B9" w:rsidRPr="00DE0180" w:rsidRDefault="007129B9" w:rsidP="007A0176">
      <w:pPr>
        <w:spacing w:after="0" w:line="240" w:lineRule="auto"/>
        <w:jc w:val="both"/>
        <w:rPr>
          <w:sz w:val="24"/>
          <w:szCs w:val="24"/>
        </w:rPr>
      </w:pPr>
    </w:p>
    <w:p w14:paraId="14C053A6" w14:textId="0CD66281" w:rsidR="00B92F34" w:rsidRPr="00DE0180" w:rsidRDefault="00B92F34" w:rsidP="00B92F34">
      <w:pPr>
        <w:spacing w:after="0" w:line="240" w:lineRule="auto"/>
        <w:jc w:val="both"/>
        <w:rPr>
          <w:rFonts w:eastAsia="Times New Roman" w:cs="Aparajita"/>
          <w:iCs/>
          <w:sz w:val="24"/>
          <w:szCs w:val="24"/>
          <w:lang w:eastAsia="hu-HU"/>
        </w:rPr>
      </w:pPr>
      <w:r w:rsidRPr="00DE0180">
        <w:rPr>
          <w:sz w:val="24"/>
          <w:szCs w:val="24"/>
        </w:rPr>
        <w:t xml:space="preserve">A Faktoring Szövetség adatai és becslése alapján jelenleg 2500 - 3000 vállalkozás vesz igénybe finanszírozási célú faktoringot. </w:t>
      </w:r>
      <w:r w:rsidRPr="00DE0180">
        <w:rPr>
          <w:b/>
          <w:i/>
          <w:sz w:val="24"/>
          <w:szCs w:val="24"/>
        </w:rPr>
        <w:t>A vállalkozások</w:t>
      </w:r>
      <w:r w:rsidRPr="00DE0180">
        <w:rPr>
          <w:rFonts w:eastAsia="Times New Roman" w:cs="Aparajita"/>
          <w:b/>
          <w:i/>
          <w:iCs/>
          <w:sz w:val="24"/>
          <w:szCs w:val="24"/>
          <w:lang w:eastAsia="hu-HU"/>
        </w:rPr>
        <w:t xml:space="preserve"> 84%-a KKV körből kikerülő, kizárólag a B2B szektorban működő vállalkozás.</w:t>
      </w:r>
      <w:r w:rsidRPr="00DE0180">
        <w:rPr>
          <w:rFonts w:eastAsia="Times New Roman" w:cs="Aparajita"/>
          <w:iCs/>
          <w:sz w:val="24"/>
          <w:szCs w:val="24"/>
          <w:lang w:eastAsia="hu-HU"/>
        </w:rPr>
        <w:t xml:space="preserve"> A korábban jelentős (40%) hányadot képviselő mikro vállalkozások száma jelentősen lecsökkent, helyüket a közepes és nagyvállalati kör foglalta el, amelyeknek kiemelkedő szerepe van a termék és termelési innovációban, a foglakoztatásban. </w:t>
      </w:r>
    </w:p>
    <w:p w14:paraId="3155CF03" w14:textId="77777777" w:rsidR="00B92F34" w:rsidRPr="00DE0180" w:rsidRDefault="00B92F34" w:rsidP="00B92F34">
      <w:pPr>
        <w:spacing w:line="240" w:lineRule="auto"/>
        <w:jc w:val="both"/>
        <w:rPr>
          <w:sz w:val="24"/>
          <w:szCs w:val="24"/>
        </w:rPr>
      </w:pPr>
    </w:p>
    <w:p w14:paraId="484AC09F" w14:textId="178D93CE" w:rsidR="007129B9" w:rsidRPr="00DE0180" w:rsidRDefault="00DF5F3E" w:rsidP="00BD1AAE">
      <w:pPr>
        <w:spacing w:line="240" w:lineRule="auto"/>
        <w:jc w:val="both"/>
        <w:rPr>
          <w:sz w:val="24"/>
          <w:szCs w:val="24"/>
        </w:rPr>
      </w:pPr>
      <w:r w:rsidRPr="00DE0180">
        <w:rPr>
          <w:noProof/>
          <w:sz w:val="24"/>
          <w:szCs w:val="24"/>
          <w:lang w:eastAsia="hu-HU"/>
        </w:rPr>
        <w:drawing>
          <wp:inline distT="0" distB="0" distL="0" distR="0" wp14:anchorId="244817C0" wp14:editId="2CE60314">
            <wp:extent cx="3219450" cy="18478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808CE" w:rsidRPr="00DE0180">
        <w:rPr>
          <w:noProof/>
          <w:sz w:val="24"/>
          <w:szCs w:val="24"/>
          <w:lang w:eastAsia="hu-HU"/>
        </w:rPr>
        <w:drawing>
          <wp:inline distT="0" distB="0" distL="0" distR="0" wp14:anchorId="3C99283B" wp14:editId="5142D204">
            <wp:extent cx="3219450" cy="1838325"/>
            <wp:effectExtent l="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CC6056" w14:textId="77777777" w:rsidR="007129B9" w:rsidRPr="00DE0180" w:rsidRDefault="007129B9" w:rsidP="007A0176">
      <w:pPr>
        <w:spacing w:after="0" w:line="240" w:lineRule="auto"/>
        <w:jc w:val="both"/>
        <w:rPr>
          <w:sz w:val="24"/>
          <w:szCs w:val="24"/>
        </w:rPr>
      </w:pPr>
    </w:p>
    <w:p w14:paraId="23F91B97" w14:textId="77777777" w:rsidR="007A0176" w:rsidRPr="00CB22F5" w:rsidRDefault="008E7C48" w:rsidP="007A0176">
      <w:pPr>
        <w:jc w:val="both"/>
        <w:rPr>
          <w:b/>
          <w:sz w:val="24"/>
          <w:szCs w:val="24"/>
          <w:u w:val="single"/>
        </w:rPr>
      </w:pPr>
      <w:r w:rsidRPr="00CB22F5">
        <w:rPr>
          <w:b/>
          <w:sz w:val="24"/>
          <w:szCs w:val="24"/>
          <w:u w:val="single"/>
        </w:rPr>
        <w:t>Ágazati megoszlás és egyéb jellemzők</w:t>
      </w:r>
    </w:p>
    <w:p w14:paraId="065E9257" w14:textId="4E998863" w:rsidR="00F1282E" w:rsidRPr="00DE0180" w:rsidRDefault="00BD1AAE" w:rsidP="004D611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D6110">
        <w:rPr>
          <w:sz w:val="24"/>
          <w:szCs w:val="24"/>
        </w:rPr>
        <w:t xml:space="preserve"> faktoring</w:t>
      </w:r>
      <w:r>
        <w:rPr>
          <w:sz w:val="24"/>
          <w:szCs w:val="24"/>
        </w:rPr>
        <w:t xml:space="preserve"> ügyfélkör tevékenység szerinti vizsgálatakor a </w:t>
      </w:r>
      <w:r w:rsidRPr="00BD1AAE">
        <w:rPr>
          <w:sz w:val="24"/>
          <w:szCs w:val="24"/>
        </w:rPr>
        <w:t xml:space="preserve">2006 és 2013 közötti </w:t>
      </w:r>
      <w:r>
        <w:rPr>
          <w:sz w:val="24"/>
          <w:szCs w:val="24"/>
        </w:rPr>
        <w:t>időszakban tendenciaszerű eltolódás figyelhet</w:t>
      </w:r>
      <w:r w:rsidR="004D6110">
        <w:rPr>
          <w:sz w:val="24"/>
          <w:szCs w:val="24"/>
        </w:rPr>
        <w:t>ő</w:t>
      </w:r>
      <w:r>
        <w:rPr>
          <w:sz w:val="24"/>
          <w:szCs w:val="24"/>
        </w:rPr>
        <w:t xml:space="preserve"> meg a termelő és szolgáltató cégek javára. A kereskedelmi tevékenységet folytató faktoráló vállalatok aránya 38%-ról 31%-ra csökkent, míg a termelő és szolgáltató cégek </w:t>
      </w:r>
      <w:r w:rsidR="004D6110">
        <w:rPr>
          <w:sz w:val="24"/>
          <w:szCs w:val="24"/>
        </w:rPr>
        <w:t>faktoring forgalomból való részesedése 29%-ról 38%-ra, illetve 9%-ról 15%-ra nőtt.</w:t>
      </w:r>
      <w:r>
        <w:rPr>
          <w:sz w:val="24"/>
          <w:szCs w:val="24"/>
        </w:rPr>
        <w:t xml:space="preserve"> </w:t>
      </w:r>
      <w:r w:rsidR="004D6110" w:rsidRPr="00BD1AAE">
        <w:rPr>
          <w:sz w:val="24"/>
          <w:szCs w:val="24"/>
        </w:rPr>
        <w:t xml:space="preserve">A kereskedelem 2006 óta a második helyre sorolódott, de így is közel egyharmadát adja a faktoring forgalomnak. </w:t>
      </w:r>
      <w:r w:rsidR="004D6110">
        <w:rPr>
          <w:sz w:val="24"/>
          <w:szCs w:val="24"/>
        </w:rPr>
        <w:t>A</w:t>
      </w:r>
      <w:r w:rsidRPr="00BD1AAE">
        <w:rPr>
          <w:sz w:val="24"/>
          <w:szCs w:val="24"/>
        </w:rPr>
        <w:t xml:space="preserve"> mezőgazdaság</w:t>
      </w:r>
      <w:r w:rsidR="004D6110">
        <w:rPr>
          <w:sz w:val="24"/>
          <w:szCs w:val="24"/>
        </w:rPr>
        <w:t xml:space="preserve">i </w:t>
      </w:r>
      <w:r w:rsidR="004D6110">
        <w:rPr>
          <w:sz w:val="24"/>
          <w:szCs w:val="24"/>
        </w:rPr>
        <w:lastRenderedPageBreak/>
        <w:t>termelők részesedése 5 % körül stagnál. Az építőipari teljesítmény zuhanása megmutatkozik a faktoring forgalomban való részesedésükben is: arányuk a 2006 évi 11%-ról 3%-ra esett vissza.</w:t>
      </w:r>
      <w:r w:rsidRPr="00BD1AAE">
        <w:rPr>
          <w:sz w:val="24"/>
          <w:szCs w:val="24"/>
        </w:rPr>
        <w:t xml:space="preserve"> </w:t>
      </w:r>
    </w:p>
    <w:p w14:paraId="7520D850" w14:textId="77777777" w:rsidR="007129B9" w:rsidRPr="00DE0180" w:rsidRDefault="007129B9" w:rsidP="007129B9">
      <w:pPr>
        <w:pStyle w:val="Listaszerbekezds"/>
        <w:jc w:val="both"/>
        <w:rPr>
          <w:sz w:val="24"/>
          <w:szCs w:val="24"/>
        </w:rPr>
      </w:pPr>
    </w:p>
    <w:p w14:paraId="0817648F" w14:textId="77777777" w:rsidR="00C3030F" w:rsidRPr="00DE0180" w:rsidRDefault="007129B9" w:rsidP="005C3144">
      <w:pPr>
        <w:pStyle w:val="Listaszerbekezds"/>
        <w:ind w:right="-1191"/>
        <w:rPr>
          <w:sz w:val="24"/>
          <w:szCs w:val="24"/>
        </w:rPr>
      </w:pPr>
      <w:r w:rsidRPr="00DE0180">
        <w:rPr>
          <w:noProof/>
          <w:sz w:val="24"/>
          <w:szCs w:val="24"/>
          <w:lang w:eastAsia="hu-HU"/>
        </w:rPr>
        <w:drawing>
          <wp:inline distT="0" distB="0" distL="0" distR="0" wp14:anchorId="019AF7CF" wp14:editId="05C2255B">
            <wp:extent cx="4320000" cy="2520000"/>
            <wp:effectExtent l="0" t="0" r="4445" b="1397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D1C8B6" w14:textId="1CF419B6" w:rsidR="000A3E80" w:rsidRPr="00DE0180" w:rsidRDefault="00F74131" w:rsidP="007A0176">
      <w:pPr>
        <w:jc w:val="both"/>
        <w:rPr>
          <w:sz w:val="24"/>
          <w:szCs w:val="24"/>
        </w:rPr>
      </w:pPr>
      <w:r w:rsidRPr="00DE0180">
        <w:rPr>
          <w:sz w:val="24"/>
          <w:szCs w:val="24"/>
        </w:rPr>
        <w:t xml:space="preserve">A </w:t>
      </w:r>
      <w:r w:rsidR="00663871" w:rsidRPr="00DE0180">
        <w:rPr>
          <w:sz w:val="24"/>
          <w:szCs w:val="24"/>
        </w:rPr>
        <w:t xml:space="preserve">faktorok által mért átlagos fizetési időszak </w:t>
      </w:r>
      <w:r w:rsidRPr="00DE0180">
        <w:rPr>
          <w:sz w:val="24"/>
          <w:szCs w:val="24"/>
        </w:rPr>
        <w:t xml:space="preserve">60 nap volt, </w:t>
      </w:r>
      <w:r w:rsidR="00663871" w:rsidRPr="00DE0180">
        <w:rPr>
          <w:sz w:val="24"/>
          <w:szCs w:val="24"/>
        </w:rPr>
        <w:t>azaz átlagosan mintegy két hónap után folyt be a faktorált számlák ellenértéke.</w:t>
      </w:r>
      <w:r w:rsidR="00B42693">
        <w:rPr>
          <w:sz w:val="24"/>
          <w:szCs w:val="24"/>
        </w:rPr>
        <w:t xml:space="preserve"> Ez kismértékű növekedés az előző évhez képest. Továbbra is jellemző azonban, hogy az állammal szembeni követelések kifizetésére lényegesen hosszabb ideig kell várni, mint a versenyszférám belül kiállított számlák kifizetésére.</w:t>
      </w:r>
    </w:p>
    <w:p w14:paraId="100DCBEE" w14:textId="731210E8" w:rsidR="005128CD" w:rsidRPr="00B42693" w:rsidRDefault="004D6110" w:rsidP="007A0176">
      <w:pPr>
        <w:jc w:val="both"/>
        <w:rPr>
          <w:b/>
          <w:sz w:val="24"/>
          <w:szCs w:val="24"/>
          <w:u w:val="single"/>
        </w:rPr>
      </w:pPr>
      <w:r w:rsidRPr="00B42693">
        <w:rPr>
          <w:b/>
          <w:sz w:val="24"/>
          <w:szCs w:val="24"/>
          <w:u w:val="single"/>
        </w:rPr>
        <w:t xml:space="preserve">Piaci verseny </w:t>
      </w:r>
    </w:p>
    <w:p w14:paraId="01F8758D" w14:textId="68945DCD" w:rsidR="00B42693" w:rsidRDefault="00B42693" w:rsidP="00B42693">
      <w:pPr>
        <w:jc w:val="both"/>
        <w:rPr>
          <w:sz w:val="24"/>
          <w:szCs w:val="24"/>
        </w:rPr>
      </w:pPr>
      <w:r>
        <w:rPr>
          <w:sz w:val="24"/>
          <w:szCs w:val="24"/>
        </w:rPr>
        <w:t>A fak</w:t>
      </w:r>
      <w:r w:rsidR="00A5162C">
        <w:rPr>
          <w:sz w:val="24"/>
          <w:szCs w:val="24"/>
        </w:rPr>
        <w:t xml:space="preserve">toring szolgáltatások piaca </w:t>
      </w:r>
      <w:r w:rsidR="00C2079E">
        <w:rPr>
          <w:sz w:val="24"/>
          <w:szCs w:val="24"/>
        </w:rPr>
        <w:t xml:space="preserve">erősen versengő piac, ahol számos aktív szereplő, bankok, banki hátterű önálló faktorcégek és </w:t>
      </w:r>
      <w:r w:rsidR="00A5162C">
        <w:rPr>
          <w:sz w:val="24"/>
          <w:szCs w:val="24"/>
        </w:rPr>
        <w:t>magán</w:t>
      </w:r>
      <w:r w:rsidR="00C2079E">
        <w:rPr>
          <w:sz w:val="24"/>
          <w:szCs w:val="24"/>
        </w:rPr>
        <w:t>személy befektetők tulajdonában álló pénzügyi vállal</w:t>
      </w:r>
      <w:r w:rsidR="00F86691">
        <w:rPr>
          <w:sz w:val="24"/>
          <w:szCs w:val="24"/>
        </w:rPr>
        <w:t>kozások, szolgálják</w:t>
      </w:r>
      <w:r w:rsidR="00A5162C">
        <w:rPr>
          <w:sz w:val="24"/>
          <w:szCs w:val="24"/>
        </w:rPr>
        <w:t xml:space="preserve"> ki a vállalkozások igényeit. A verseny jótékony hatása megmutatkozik a szolgáltatások nemzetközi szintű minőségében, a termékek választékában, a döntések gyorsaságában és rugalmasságában és természetesen a faktoring szolgáltatások díjainak alakulásában is. A jól faktorálható konstrukciókban a faktoring díjai ma már helyenként kisebbek, mint az alternatív megoldást nyújtó forgóeszköz hitelek költsége. Ha finanszírozási szolgáltatás mellé hozzátesszük a faktoring követelésbiztosítási, behajtási, vevőértékelési, nyilvántartási szolgáltatásait, a mérlegre és a vállalkozás biztosítéki helyzetére gyakorolt pozitív hatásait, akkor a faktoring versenye</w:t>
      </w:r>
      <w:r w:rsidR="00F86691">
        <w:rPr>
          <w:sz w:val="24"/>
          <w:szCs w:val="24"/>
        </w:rPr>
        <w:t>lőnye határozottan kimutatható.</w:t>
      </w:r>
    </w:p>
    <w:p w14:paraId="321C43AD" w14:textId="07B94EC8" w:rsidR="005B1A19" w:rsidRDefault="00474A33" w:rsidP="00B42693">
      <w:pPr>
        <w:jc w:val="both"/>
        <w:rPr>
          <w:sz w:val="24"/>
          <w:szCs w:val="24"/>
        </w:rPr>
      </w:pPr>
      <w:r>
        <w:rPr>
          <w:sz w:val="24"/>
          <w:szCs w:val="24"/>
        </w:rPr>
        <w:t>A meglévő piaci szereplők 2013-ban újabb szereplők kihívásával is szembekerültek. 2013-ban indult el az OTP Bank faktoring üzletága, amely már az első tört évben jelentős</w:t>
      </w:r>
      <w:r w:rsidR="00F27C4D">
        <w:rPr>
          <w:sz w:val="24"/>
          <w:szCs w:val="24"/>
        </w:rPr>
        <w:t xml:space="preserve"> mértékben</w:t>
      </w:r>
      <w:r>
        <w:rPr>
          <w:sz w:val="24"/>
          <w:szCs w:val="24"/>
        </w:rPr>
        <w:t xml:space="preserve"> járult</w:t>
      </w:r>
      <w:r w:rsidR="00F27C4D">
        <w:rPr>
          <w:sz w:val="24"/>
          <w:szCs w:val="24"/>
        </w:rPr>
        <w:t xml:space="preserve"> hozzá a finanszírozási volumen</w:t>
      </w:r>
      <w:r>
        <w:rPr>
          <w:sz w:val="24"/>
          <w:szCs w:val="24"/>
        </w:rPr>
        <w:t xml:space="preserve"> növek</w:t>
      </w:r>
      <w:r w:rsidR="005B1BA5">
        <w:rPr>
          <w:sz w:val="24"/>
          <w:szCs w:val="24"/>
        </w:rPr>
        <w:t>ményé</w:t>
      </w:r>
      <w:r w:rsidR="00023C41">
        <w:rPr>
          <w:sz w:val="24"/>
          <w:szCs w:val="24"/>
        </w:rPr>
        <w:t>hez. 2013-ban indult el – egye</w:t>
      </w:r>
      <w:r>
        <w:rPr>
          <w:sz w:val="24"/>
          <w:szCs w:val="24"/>
        </w:rPr>
        <w:t>lőre nem szövetségi tag – Grenke Faktor is. A</w:t>
      </w:r>
      <w:r w:rsidR="005B1A19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F27C4D">
        <w:rPr>
          <w:sz w:val="24"/>
          <w:szCs w:val="24"/>
        </w:rPr>
        <w:t>összességében stagnáló helyzetet mutató</w:t>
      </w:r>
      <w:r>
        <w:rPr>
          <w:sz w:val="24"/>
          <w:szCs w:val="24"/>
        </w:rPr>
        <w:t xml:space="preserve"> számok</w:t>
      </w:r>
      <w:r w:rsidR="00C13269">
        <w:rPr>
          <w:sz w:val="24"/>
          <w:szCs w:val="24"/>
        </w:rPr>
        <w:t xml:space="preserve"> (kis</w:t>
      </w:r>
      <w:r w:rsidR="00F27C4D">
        <w:rPr>
          <w:sz w:val="24"/>
          <w:szCs w:val="24"/>
        </w:rPr>
        <w:t xml:space="preserve">mértékben csökkenő forgalom, enyhén növekvő kihelyezés) mögött nagyobb átrendeződés mutatkozik a szolgáltatói oldalon. A korábbi piacvezetők komoly forgalom csökkenést szenvedtek el, a kihelyezéseik volumene </w:t>
      </w:r>
      <w:r w:rsidR="005B1A19">
        <w:rPr>
          <w:sz w:val="24"/>
          <w:szCs w:val="24"/>
        </w:rPr>
        <w:t xml:space="preserve">is drámaian </w:t>
      </w:r>
      <w:r w:rsidR="00F27C4D">
        <w:rPr>
          <w:sz w:val="24"/>
          <w:szCs w:val="24"/>
        </w:rPr>
        <w:t xml:space="preserve">csökkent. A </w:t>
      </w:r>
      <w:r w:rsidR="00066B37">
        <w:rPr>
          <w:sz w:val="24"/>
          <w:szCs w:val="24"/>
        </w:rPr>
        <w:t>Szövetség statisztikájában szereplő 20 tagvállalatból 12 tudott növekedést felmutatni, köztük sok magánszemélyek, intézmények tulajdonában lévő</w:t>
      </w:r>
      <w:r w:rsidR="00F27C4D">
        <w:rPr>
          <w:sz w:val="24"/>
          <w:szCs w:val="24"/>
        </w:rPr>
        <w:t xml:space="preserve"> </w:t>
      </w:r>
      <w:r w:rsidR="00C13269">
        <w:rPr>
          <w:sz w:val="24"/>
          <w:szCs w:val="24"/>
        </w:rPr>
        <w:t xml:space="preserve">független </w:t>
      </w:r>
      <w:r w:rsidR="00066B37">
        <w:rPr>
          <w:sz w:val="24"/>
          <w:szCs w:val="24"/>
        </w:rPr>
        <w:t xml:space="preserve">faktoring szolgáltató is. Ez utóbbiak </w:t>
      </w:r>
      <w:r w:rsidR="00FF51B1">
        <w:rPr>
          <w:sz w:val="24"/>
          <w:szCs w:val="24"/>
        </w:rPr>
        <w:t xml:space="preserve">átlagosan 14%-os </w:t>
      </w:r>
      <w:r w:rsidR="005B1BA5">
        <w:rPr>
          <w:sz w:val="24"/>
          <w:szCs w:val="24"/>
        </w:rPr>
        <w:t>forgalomnövekedést</w:t>
      </w:r>
      <w:r w:rsidR="00FF51B1">
        <w:rPr>
          <w:sz w:val="24"/>
          <w:szCs w:val="24"/>
        </w:rPr>
        <w:t xml:space="preserve"> realizáltak és ezzel összesített piaci részesedésük 2013-ban </w:t>
      </w:r>
      <w:r w:rsidR="005B1A19">
        <w:rPr>
          <w:sz w:val="24"/>
          <w:szCs w:val="24"/>
        </w:rPr>
        <w:t>23,2</w:t>
      </w:r>
      <w:r w:rsidR="00FF51B1">
        <w:rPr>
          <w:sz w:val="24"/>
          <w:szCs w:val="24"/>
        </w:rPr>
        <w:t>%-ra nőtt. Ezzel megfordulni látszik</w:t>
      </w:r>
      <w:r w:rsidR="00066B37">
        <w:rPr>
          <w:sz w:val="24"/>
          <w:szCs w:val="24"/>
        </w:rPr>
        <w:t xml:space="preserve"> az évek óta tartó lassú térveszté</w:t>
      </w:r>
      <w:r w:rsidR="00FF51B1">
        <w:rPr>
          <w:sz w:val="24"/>
          <w:szCs w:val="24"/>
        </w:rPr>
        <w:t xml:space="preserve">s tendenciája. </w:t>
      </w:r>
    </w:p>
    <w:p w14:paraId="7E3CAA00" w14:textId="76D53F97" w:rsidR="00F86691" w:rsidRDefault="00FF51B1" w:rsidP="00B426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piacot továbbra is a bankok és banki tulajdonban lévő faktorok dominálják, ezen belül az arányok a bankok felé tolódtak el. Ennek oka, hogy 2013-ban az Erste Bank bankon belülre szervezte át a korábban működő Erste Faktor Zrt. tevékenységét, illetve az OTP Bank piacra lépése is ennek a szolgáltatói </w:t>
      </w:r>
      <w:r>
        <w:rPr>
          <w:sz w:val="24"/>
          <w:szCs w:val="24"/>
        </w:rPr>
        <w:lastRenderedPageBreak/>
        <w:t>cs</w:t>
      </w:r>
      <w:r w:rsidR="005B1A19">
        <w:rPr>
          <w:sz w:val="24"/>
          <w:szCs w:val="24"/>
        </w:rPr>
        <w:t xml:space="preserve">oportnak növelte a </w:t>
      </w:r>
      <w:r>
        <w:rPr>
          <w:sz w:val="24"/>
          <w:szCs w:val="24"/>
        </w:rPr>
        <w:t xml:space="preserve">teljesítményét. A bankok piaci részesedése 2013-ban közel 60%-ot tett ki, míg a banki tulajdonú faktorok – bár jelentősen növekedtek </w:t>
      </w:r>
      <w:r w:rsidR="005B1A1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1A19">
        <w:rPr>
          <w:sz w:val="24"/>
          <w:szCs w:val="24"/>
        </w:rPr>
        <w:t>piaci részesedésük nem éri el a 20%-ot.</w:t>
      </w:r>
    </w:p>
    <w:p w14:paraId="7368FEA8" w14:textId="77777777" w:rsidR="00A350CC" w:rsidRDefault="00A350CC" w:rsidP="00B42693">
      <w:pPr>
        <w:jc w:val="both"/>
        <w:rPr>
          <w:sz w:val="24"/>
          <w:szCs w:val="24"/>
        </w:rPr>
      </w:pPr>
    </w:p>
    <w:p w14:paraId="33C260F1" w14:textId="77777777" w:rsidR="00B42693" w:rsidRDefault="00B42693" w:rsidP="005128CD">
      <w:pPr>
        <w:jc w:val="center"/>
        <w:rPr>
          <w:sz w:val="24"/>
          <w:szCs w:val="24"/>
        </w:rPr>
      </w:pPr>
    </w:p>
    <w:p w14:paraId="430DBDCD" w14:textId="77777777" w:rsidR="00B42693" w:rsidRDefault="00B42693" w:rsidP="005128CD">
      <w:pPr>
        <w:jc w:val="center"/>
        <w:rPr>
          <w:sz w:val="24"/>
          <w:szCs w:val="24"/>
        </w:rPr>
      </w:pPr>
    </w:p>
    <w:p w14:paraId="6AA55971" w14:textId="77777777" w:rsidR="00062014" w:rsidRPr="00DE0180" w:rsidRDefault="005128CD" w:rsidP="005128CD">
      <w:pPr>
        <w:jc w:val="center"/>
        <w:rPr>
          <w:sz w:val="24"/>
          <w:szCs w:val="24"/>
        </w:rPr>
      </w:pPr>
      <w:r w:rsidRPr="00DE0180">
        <w:rPr>
          <w:noProof/>
          <w:sz w:val="24"/>
          <w:szCs w:val="24"/>
          <w:lang w:eastAsia="hu-HU"/>
        </w:rPr>
        <w:drawing>
          <wp:inline distT="0" distB="0" distL="0" distR="0" wp14:anchorId="6B540609" wp14:editId="11787CA6">
            <wp:extent cx="4320000" cy="2520000"/>
            <wp:effectExtent l="0" t="0" r="4445" b="1397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652648" w14:textId="6229C611" w:rsidR="00062014" w:rsidRPr="00DE0180" w:rsidRDefault="00062014" w:rsidP="00062014">
      <w:pPr>
        <w:jc w:val="both"/>
        <w:rPr>
          <w:sz w:val="24"/>
          <w:szCs w:val="24"/>
        </w:rPr>
      </w:pPr>
    </w:p>
    <w:p w14:paraId="177A7705" w14:textId="28FFCF9A" w:rsidR="00AE69EB" w:rsidRPr="005B1BA5" w:rsidRDefault="005B1BA5" w:rsidP="005B1BA5">
      <w:pPr>
        <w:rPr>
          <w:b/>
          <w:sz w:val="24"/>
          <w:szCs w:val="24"/>
          <w:u w:val="single"/>
        </w:rPr>
      </w:pPr>
      <w:r w:rsidRPr="005B1BA5">
        <w:rPr>
          <w:b/>
          <w:sz w:val="24"/>
          <w:szCs w:val="24"/>
          <w:u w:val="single"/>
        </w:rPr>
        <w:t>Kitekintés 2014-re</w:t>
      </w:r>
      <w:r>
        <w:rPr>
          <w:b/>
          <w:sz w:val="24"/>
          <w:szCs w:val="24"/>
          <w:u w:val="single"/>
        </w:rPr>
        <w:t xml:space="preserve"> – a fordulat éve?</w:t>
      </w:r>
    </w:p>
    <w:p w14:paraId="600B3BAC" w14:textId="49C3D1E2" w:rsidR="00B005A3" w:rsidRDefault="005B1BA5" w:rsidP="00062014">
      <w:pPr>
        <w:jc w:val="both"/>
        <w:rPr>
          <w:sz w:val="24"/>
          <w:szCs w:val="24"/>
        </w:rPr>
      </w:pPr>
      <w:r w:rsidRPr="005B1BA5">
        <w:rPr>
          <w:sz w:val="24"/>
          <w:szCs w:val="24"/>
        </w:rPr>
        <w:t>A gazdaság makro</w:t>
      </w:r>
      <w:r>
        <w:rPr>
          <w:sz w:val="24"/>
          <w:szCs w:val="24"/>
        </w:rPr>
        <w:t>-</w:t>
      </w:r>
      <w:r w:rsidRPr="005B1BA5">
        <w:rPr>
          <w:sz w:val="24"/>
          <w:szCs w:val="24"/>
        </w:rPr>
        <w:t xml:space="preserve">adatainak lassú javulásával párhuzamosan </w:t>
      </w:r>
      <w:r>
        <w:rPr>
          <w:sz w:val="24"/>
          <w:szCs w:val="24"/>
        </w:rPr>
        <w:t xml:space="preserve">2013 utolsó negyedévétől rendre növekedést mutató statisztikai adatokkal szolgáltak a Szövetséghez tartozó faktoring szolgáltatók. A 2014 </w:t>
      </w:r>
      <w:r w:rsidR="008B0E05">
        <w:rPr>
          <w:sz w:val="24"/>
          <w:szCs w:val="24"/>
        </w:rPr>
        <w:t xml:space="preserve">évi féléves adatok szerint </w:t>
      </w:r>
      <w:r>
        <w:rPr>
          <w:sz w:val="24"/>
          <w:szCs w:val="24"/>
        </w:rPr>
        <w:t>a faktoring forgalom</w:t>
      </w:r>
      <w:r w:rsidR="008B0E05">
        <w:rPr>
          <w:sz w:val="24"/>
          <w:szCs w:val="24"/>
        </w:rPr>
        <w:t xml:space="preserve"> 12 %-os, </w:t>
      </w:r>
      <w:r>
        <w:rPr>
          <w:sz w:val="24"/>
          <w:szCs w:val="24"/>
        </w:rPr>
        <w:t xml:space="preserve">a kihelyezett finanszírozás </w:t>
      </w:r>
      <w:r w:rsidR="00893855">
        <w:rPr>
          <w:sz w:val="24"/>
          <w:szCs w:val="24"/>
        </w:rPr>
        <w:t>10%-os növekedést mutat az előző év</w:t>
      </w:r>
      <w:r w:rsidR="000D5826">
        <w:rPr>
          <w:sz w:val="24"/>
          <w:szCs w:val="24"/>
        </w:rPr>
        <w:t xml:space="preserve"> féléves adatai</w:t>
      </w:r>
      <w:r w:rsidR="00893855">
        <w:rPr>
          <w:sz w:val="24"/>
          <w:szCs w:val="24"/>
        </w:rPr>
        <w:t>h</w:t>
      </w:r>
      <w:r w:rsidR="000D5826">
        <w:rPr>
          <w:sz w:val="24"/>
          <w:szCs w:val="24"/>
        </w:rPr>
        <w:t>o</w:t>
      </w:r>
      <w:r w:rsidR="00893855">
        <w:rPr>
          <w:sz w:val="24"/>
          <w:szCs w:val="24"/>
        </w:rPr>
        <w:t>z képest.</w:t>
      </w:r>
      <w:r w:rsidR="00EB0839">
        <w:rPr>
          <w:sz w:val="24"/>
          <w:szCs w:val="24"/>
        </w:rPr>
        <w:t xml:space="preserve"> </w:t>
      </w:r>
    </w:p>
    <w:p w14:paraId="2D8B1B87" w14:textId="6565450E" w:rsidR="005B1BA5" w:rsidRDefault="00EB0839" w:rsidP="00062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trendek 2014-re kedvezőek, amely azt mutatja, hogy a növekedés útjára lépett vállalkozások a finanszírozási alternatívák mérlegelésekor továbbra is előnyben részesítik az eladósodást nem okozó, saját hitelképességet nem terhelő, biztosítékot nem igénylő faktoringot. </w:t>
      </w:r>
      <w:r w:rsidR="00B005A3">
        <w:rPr>
          <w:sz w:val="24"/>
          <w:szCs w:val="24"/>
        </w:rPr>
        <w:t>A válság elmúlt éveiben sok vállalkozás megszűnt, újak léptek a piacra, a tovább működők pénzügyi helyzetében szélsőséges változások következhettek be, ezért az eladások növelésekor, új partnerek megnyerésekor kevéssé lehet támaszkodni a múltbéli tapasztalatokra. A mai körülmények között</w:t>
      </w:r>
      <w:r w:rsidR="000D5826">
        <w:rPr>
          <w:sz w:val="24"/>
          <w:szCs w:val="24"/>
        </w:rPr>
        <w:t xml:space="preserve"> a vállalkozások életében</w:t>
      </w:r>
      <w:r w:rsidR="00B005A3">
        <w:rPr>
          <w:sz w:val="24"/>
          <w:szCs w:val="24"/>
        </w:rPr>
        <w:t xml:space="preserve"> felértékelődik a partner vállalkozások pénzügyi értékelésének a jelentősége, a nemfizetési kockázatok kiszűrése. </w:t>
      </w:r>
      <w:r w:rsidR="000D5826">
        <w:rPr>
          <w:sz w:val="24"/>
          <w:szCs w:val="24"/>
        </w:rPr>
        <w:t xml:space="preserve">Kedvező, hogy a faktoring a pénzügyi és a piaci biztonságot egy szolgáltatás keretében kínálja. </w:t>
      </w:r>
      <w:r w:rsidR="00B005A3">
        <w:rPr>
          <w:sz w:val="24"/>
          <w:szCs w:val="24"/>
        </w:rPr>
        <w:t>Mindez megalapozhatj</w:t>
      </w:r>
      <w:r w:rsidR="000D5826">
        <w:rPr>
          <w:sz w:val="24"/>
          <w:szCs w:val="24"/>
        </w:rPr>
        <w:t>a</w:t>
      </w:r>
      <w:r w:rsidR="00B005A3">
        <w:rPr>
          <w:sz w:val="24"/>
          <w:szCs w:val="24"/>
        </w:rPr>
        <w:t xml:space="preserve"> a faktoring</w:t>
      </w:r>
      <w:r w:rsidR="000D5826">
        <w:rPr>
          <w:sz w:val="24"/>
          <w:szCs w:val="24"/>
        </w:rPr>
        <w:t xml:space="preserve"> piac új</w:t>
      </w:r>
      <w:r w:rsidR="00B005A3">
        <w:rPr>
          <w:sz w:val="24"/>
          <w:szCs w:val="24"/>
        </w:rPr>
        <w:t xml:space="preserve"> növekedés</w:t>
      </w:r>
      <w:r w:rsidR="000D5826">
        <w:rPr>
          <w:sz w:val="24"/>
          <w:szCs w:val="24"/>
        </w:rPr>
        <w:t>i periódusának elindulását</w:t>
      </w:r>
      <w:r w:rsidR="00B005A3">
        <w:rPr>
          <w:sz w:val="24"/>
          <w:szCs w:val="24"/>
        </w:rPr>
        <w:t xml:space="preserve">. </w:t>
      </w:r>
    </w:p>
    <w:p w14:paraId="6FDC8FE4" w14:textId="79170964" w:rsidR="00B005A3" w:rsidRPr="005B1BA5" w:rsidRDefault="00B005A3" w:rsidP="00062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faktoring szakma bízik abban, hogy a </w:t>
      </w:r>
      <w:r w:rsidR="000D5826">
        <w:rPr>
          <w:sz w:val="24"/>
          <w:szCs w:val="24"/>
        </w:rPr>
        <w:t xml:space="preserve">növekvő </w:t>
      </w:r>
      <w:r>
        <w:rPr>
          <w:sz w:val="24"/>
          <w:szCs w:val="24"/>
        </w:rPr>
        <w:t>reálgazdasági igények kielégíté</w:t>
      </w:r>
      <w:r w:rsidR="0096139E">
        <w:rPr>
          <w:sz w:val="24"/>
          <w:szCs w:val="24"/>
        </w:rPr>
        <w:t xml:space="preserve">sét segíteni fogják a növekedés ösztönzését célzó </w:t>
      </w:r>
      <w:r w:rsidR="00680C8D">
        <w:rPr>
          <w:sz w:val="24"/>
          <w:szCs w:val="24"/>
        </w:rPr>
        <w:t xml:space="preserve">gazdaságpolitikai </w:t>
      </w:r>
      <w:r w:rsidR="0096139E">
        <w:rPr>
          <w:sz w:val="24"/>
          <w:szCs w:val="24"/>
        </w:rPr>
        <w:t>eszközök is, amelyek várhatóan 2014 második felében fognak piacra kerülni.</w:t>
      </w:r>
      <w:r w:rsidR="00680C8D">
        <w:rPr>
          <w:sz w:val="24"/>
          <w:szCs w:val="24"/>
        </w:rPr>
        <w:t xml:space="preserve"> </w:t>
      </w:r>
    </w:p>
    <w:p w14:paraId="328444D0" w14:textId="08EBDC24" w:rsidR="001B55D0" w:rsidRPr="00CB22F5" w:rsidRDefault="001B55D0" w:rsidP="00062014">
      <w:pPr>
        <w:jc w:val="both"/>
        <w:rPr>
          <w:rFonts w:cs="Times New Roman"/>
          <w:b/>
          <w:sz w:val="24"/>
          <w:szCs w:val="24"/>
          <w:u w:val="single"/>
        </w:rPr>
      </w:pPr>
      <w:r w:rsidRPr="00CB22F5">
        <w:rPr>
          <w:rFonts w:cs="Times New Roman"/>
          <w:b/>
          <w:sz w:val="24"/>
          <w:szCs w:val="24"/>
          <w:u w:val="single"/>
        </w:rPr>
        <w:t xml:space="preserve">Új </w:t>
      </w:r>
      <w:r w:rsidR="0096139E">
        <w:rPr>
          <w:rFonts w:cs="Times New Roman"/>
          <w:b/>
          <w:sz w:val="24"/>
          <w:szCs w:val="24"/>
          <w:u w:val="single"/>
        </w:rPr>
        <w:t>– államilag támogatott – faktoring termékek</w:t>
      </w:r>
    </w:p>
    <w:p w14:paraId="09D95DC5" w14:textId="0AEDCBB9" w:rsidR="00772AA8" w:rsidRDefault="00772AA8" w:rsidP="00772AA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</w:t>
      </w:r>
      <w:r w:rsidR="001B55D0" w:rsidRPr="00DE0180">
        <w:rPr>
          <w:rFonts w:cs="Times New Roman"/>
          <w:sz w:val="24"/>
          <w:szCs w:val="24"/>
        </w:rPr>
        <w:t>zövetség az</w:t>
      </w:r>
      <w:r>
        <w:rPr>
          <w:rFonts w:cs="Times New Roman"/>
          <w:sz w:val="24"/>
          <w:szCs w:val="24"/>
        </w:rPr>
        <w:t xml:space="preserve"> elmúlt</w:t>
      </w:r>
      <w:r w:rsidR="001B55D0" w:rsidRPr="00DE0180">
        <w:rPr>
          <w:rFonts w:cs="Times New Roman"/>
          <w:sz w:val="24"/>
          <w:szCs w:val="24"/>
        </w:rPr>
        <w:t xml:space="preserve"> év</w:t>
      </w:r>
      <w:r>
        <w:rPr>
          <w:rFonts w:cs="Times New Roman"/>
          <w:sz w:val="24"/>
          <w:szCs w:val="24"/>
        </w:rPr>
        <w:t>ekben folyamatosan szorgalmazta az állami szerveknél, hogy a faktoring finanszírozást is emeljék be a különböző állami programokban (Új Széchenyi Terv) meghirdetett, támogatott forgóeszköz finanszírozási konstrukciók közé. A törekvések 2014-ben látszanak megvalósulni az Eximbank export növekedési programja illetve az MNB Növekedési Hitel Programja keretében.</w:t>
      </w:r>
      <w:r w:rsidR="001B55D0" w:rsidRPr="00DE0180">
        <w:rPr>
          <w:rFonts w:cs="Times New Roman"/>
          <w:sz w:val="24"/>
          <w:szCs w:val="24"/>
        </w:rPr>
        <w:t xml:space="preserve"> </w:t>
      </w:r>
    </w:p>
    <w:p w14:paraId="0FDF3C5B" w14:textId="021B2396" w:rsidR="00772AA8" w:rsidRPr="00772AA8" w:rsidRDefault="00772AA8" w:rsidP="00772AA8">
      <w:pPr>
        <w:jc w:val="both"/>
        <w:rPr>
          <w:rFonts w:cs="Times New Roman"/>
          <w:b/>
          <w:sz w:val="24"/>
          <w:szCs w:val="24"/>
          <w:u w:val="single"/>
        </w:rPr>
      </w:pPr>
      <w:r w:rsidRPr="00772AA8">
        <w:rPr>
          <w:rFonts w:cs="Times New Roman"/>
          <w:b/>
          <w:sz w:val="24"/>
          <w:szCs w:val="24"/>
          <w:u w:val="single"/>
        </w:rPr>
        <w:lastRenderedPageBreak/>
        <w:t>Exim Faktoring:</w:t>
      </w:r>
    </w:p>
    <w:p w14:paraId="52091BEA" w14:textId="6155B183" w:rsidR="00205353" w:rsidRDefault="00205353" w:rsidP="00062014">
      <w:pPr>
        <w:jc w:val="both"/>
        <w:rPr>
          <w:rFonts w:cs="Times New Roman"/>
          <w:sz w:val="24"/>
          <w:szCs w:val="24"/>
        </w:rPr>
      </w:pPr>
      <w:r w:rsidRPr="00DE0180">
        <w:rPr>
          <w:rFonts w:cs="Times New Roman"/>
          <w:sz w:val="24"/>
          <w:szCs w:val="24"/>
        </w:rPr>
        <w:t xml:space="preserve">Az Eximbank kialakította a </w:t>
      </w:r>
      <w:r w:rsidR="00772AA8">
        <w:rPr>
          <w:rFonts w:cs="Times New Roman"/>
          <w:sz w:val="24"/>
          <w:szCs w:val="24"/>
        </w:rPr>
        <w:t>magyar export tartalom követelésvásárláson, faktoringon keresztüli finanszírozásának kedvező refinanszírozási feltételeit. A kedvező EUR alapú faktoring forrás üzemmérettől függetlenül, valamennyi vállalkozás számára igénybe vehető</w:t>
      </w:r>
      <w:r w:rsidR="00FB5139">
        <w:rPr>
          <w:rFonts w:cs="Times New Roman"/>
          <w:sz w:val="24"/>
          <w:szCs w:val="24"/>
        </w:rPr>
        <w:t xml:space="preserve"> lesz, amennyiben</w:t>
      </w:r>
      <w:r w:rsidR="00772AA8">
        <w:rPr>
          <w:rFonts w:cs="Times New Roman"/>
          <w:sz w:val="24"/>
          <w:szCs w:val="24"/>
        </w:rPr>
        <w:t xml:space="preserve"> </w:t>
      </w:r>
      <w:r w:rsidR="00FB5139">
        <w:rPr>
          <w:rFonts w:cs="Times New Roman"/>
          <w:sz w:val="24"/>
          <w:szCs w:val="24"/>
        </w:rPr>
        <w:t xml:space="preserve">a közvetlen export </w:t>
      </w:r>
      <w:r w:rsidR="00772AA8">
        <w:rPr>
          <w:rFonts w:cs="Times New Roman"/>
          <w:sz w:val="24"/>
          <w:szCs w:val="24"/>
        </w:rPr>
        <w:t>megfelel a magyar származási feltétele</w:t>
      </w:r>
      <w:r w:rsidR="00FB5139">
        <w:rPr>
          <w:rFonts w:cs="Times New Roman"/>
          <w:sz w:val="24"/>
          <w:szCs w:val="24"/>
        </w:rPr>
        <w:t>k</w:t>
      </w:r>
      <w:r w:rsidR="00772AA8">
        <w:rPr>
          <w:rFonts w:cs="Times New Roman"/>
          <w:sz w:val="24"/>
          <w:szCs w:val="24"/>
        </w:rPr>
        <w:t>nek</w:t>
      </w:r>
      <w:r w:rsidR="00FB5139">
        <w:rPr>
          <w:rFonts w:cs="Times New Roman"/>
          <w:sz w:val="24"/>
          <w:szCs w:val="24"/>
        </w:rPr>
        <w:t>. (Az export tevékenységet végző vállalkozá</w:t>
      </w:r>
      <w:r w:rsidR="00023C41">
        <w:rPr>
          <w:rFonts w:cs="Times New Roman"/>
          <w:sz w:val="24"/>
          <w:szCs w:val="24"/>
        </w:rPr>
        <w:t>snak történő beszállítások egye</w:t>
      </w:r>
      <w:r w:rsidR="00FB5139">
        <w:rPr>
          <w:rFonts w:cs="Times New Roman"/>
          <w:sz w:val="24"/>
          <w:szCs w:val="24"/>
        </w:rPr>
        <w:t>lőre nem finanszírozhatók a kedvező forrásból)</w:t>
      </w:r>
      <w:r w:rsidR="00772AA8">
        <w:rPr>
          <w:rFonts w:cs="Times New Roman"/>
          <w:sz w:val="24"/>
          <w:szCs w:val="24"/>
        </w:rPr>
        <w:t xml:space="preserve">. </w:t>
      </w:r>
      <w:r w:rsidR="00F74097">
        <w:rPr>
          <w:rFonts w:cs="Times New Roman"/>
          <w:sz w:val="24"/>
          <w:szCs w:val="24"/>
        </w:rPr>
        <w:t xml:space="preserve">A </w:t>
      </w:r>
      <w:r w:rsidRPr="00DE0180">
        <w:rPr>
          <w:rFonts w:cs="Times New Roman"/>
          <w:sz w:val="24"/>
          <w:szCs w:val="24"/>
        </w:rPr>
        <w:t>faktorok</w:t>
      </w:r>
      <w:r w:rsidR="00F74097">
        <w:rPr>
          <w:rFonts w:cs="Times New Roman"/>
          <w:sz w:val="24"/>
          <w:szCs w:val="24"/>
        </w:rPr>
        <w:t xml:space="preserve"> egyedileg állapítják meg a feltételeket, de a felszámítható kondícióknak az ügyfelek számra kedvező felső korlátai vannak. A Teljes Hiteldíj Mutató (THM) értéke nem haladhatja meg az 5%-ot.</w:t>
      </w:r>
      <w:r w:rsidRPr="00DE0180">
        <w:rPr>
          <w:rFonts w:cs="Times New Roman"/>
          <w:sz w:val="24"/>
          <w:szCs w:val="24"/>
        </w:rPr>
        <w:t xml:space="preserve"> </w:t>
      </w:r>
      <w:r w:rsidR="00F74097">
        <w:rPr>
          <w:rFonts w:cs="Times New Roman"/>
          <w:sz w:val="24"/>
          <w:szCs w:val="24"/>
        </w:rPr>
        <w:t>Az Eximbank konstrukciója nem csak költségoldalon teremt jó feltételeket, de forrást is teremt a refinanszírozási lehetőségekben szűkös független faktorcégek számára, amely biztosítja a termék széleskörű elérhetőségét az ügyfelek számára.</w:t>
      </w:r>
    </w:p>
    <w:p w14:paraId="3F1BF6D1" w14:textId="0D41F647" w:rsidR="0045703F" w:rsidRPr="00DE0180" w:rsidRDefault="0045703F" w:rsidP="000620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Exim Faktoring termékek várhatóan a nyár végétől lesznek elérhetők a vállalkozások számára a faktoring szolgáltatóknál.</w:t>
      </w:r>
    </w:p>
    <w:p w14:paraId="04D7EA31" w14:textId="379A7F56" w:rsidR="008250B2" w:rsidRPr="008250B2" w:rsidRDefault="008250B2" w:rsidP="00835601">
      <w:pPr>
        <w:jc w:val="both"/>
        <w:rPr>
          <w:rFonts w:cs="Times New Roman"/>
          <w:b/>
          <w:sz w:val="24"/>
          <w:szCs w:val="24"/>
          <w:u w:val="single"/>
        </w:rPr>
      </w:pPr>
      <w:r w:rsidRPr="008250B2">
        <w:rPr>
          <w:rFonts w:cs="Times New Roman"/>
          <w:b/>
          <w:sz w:val="24"/>
          <w:szCs w:val="24"/>
          <w:u w:val="single"/>
        </w:rPr>
        <w:t>NHP Faktoring</w:t>
      </w:r>
    </w:p>
    <w:p w14:paraId="6A40160A" w14:textId="22A8E018" w:rsidR="008250B2" w:rsidRDefault="00483FC1" w:rsidP="0083560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Nemzeti Bank </w:t>
      </w:r>
      <w:r w:rsidR="0061598E">
        <w:rPr>
          <w:rFonts w:cs="Times New Roman"/>
          <w:sz w:val="24"/>
          <w:szCs w:val="24"/>
        </w:rPr>
        <w:t xml:space="preserve">2014 májusában hozott döntést </w:t>
      </w:r>
      <w:r>
        <w:rPr>
          <w:rFonts w:cs="Times New Roman"/>
          <w:sz w:val="24"/>
          <w:szCs w:val="24"/>
        </w:rPr>
        <w:t>a faktoring Növekedési Hitelprogramba való bevonásáról</w:t>
      </w:r>
      <w:r w:rsidR="0061598E">
        <w:rPr>
          <w:rFonts w:cs="Times New Roman"/>
          <w:sz w:val="24"/>
          <w:szCs w:val="24"/>
        </w:rPr>
        <w:t xml:space="preserve"> a KKV vállalkozások számára, amely</w:t>
      </w:r>
      <w:r>
        <w:rPr>
          <w:rFonts w:cs="Times New Roman"/>
          <w:sz w:val="24"/>
          <w:szCs w:val="24"/>
        </w:rPr>
        <w:t xml:space="preserve"> a belföldi növekedés serkentését szolgálja a faktoring eszközeivel. </w:t>
      </w:r>
    </w:p>
    <w:p w14:paraId="7AEBA11F" w14:textId="0EFC32B2" w:rsidR="00205353" w:rsidRPr="00DE0180" w:rsidRDefault="00205353" w:rsidP="00C0605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E0180">
        <w:rPr>
          <w:rFonts w:cs="Times New Roman"/>
          <w:sz w:val="24"/>
          <w:szCs w:val="24"/>
        </w:rPr>
        <w:t>Az NHP</w:t>
      </w:r>
      <w:r w:rsidR="0061598E">
        <w:rPr>
          <w:rFonts w:cs="Times New Roman"/>
          <w:sz w:val="24"/>
          <w:szCs w:val="24"/>
        </w:rPr>
        <w:t xml:space="preserve"> faktoringra történő kiterjesztése több szempontból </w:t>
      </w:r>
      <w:r w:rsidR="00C06051">
        <w:rPr>
          <w:rFonts w:cs="Times New Roman"/>
          <w:sz w:val="24"/>
          <w:szCs w:val="24"/>
        </w:rPr>
        <w:t>is racionális döntés. Fontos, hogy a gazdasági növekedést élénkítő támogatások több csatornán jussanak el a válla</w:t>
      </w:r>
      <w:r w:rsidR="00EC624D">
        <w:rPr>
          <w:rFonts w:cs="Times New Roman"/>
          <w:sz w:val="24"/>
          <w:szCs w:val="24"/>
        </w:rPr>
        <w:t>l</w:t>
      </w:r>
      <w:r w:rsidR="00C06051">
        <w:rPr>
          <w:rFonts w:cs="Times New Roman"/>
          <w:sz w:val="24"/>
          <w:szCs w:val="24"/>
        </w:rPr>
        <w:t>kozókhoz, hogy azok a tevékenységüknek leginkább megfelelő terméket tudják igénybe venni. A faktoring révén olyan ügyfélkör is számára is elérhetővé válik a kedvezményes NHP finanszírozás, amely eddig azt nem vehette igénybe:</w:t>
      </w:r>
    </w:p>
    <w:p w14:paraId="3C912516" w14:textId="6D0BA6EC" w:rsidR="00205353" w:rsidRPr="00DE0180" w:rsidRDefault="00205353" w:rsidP="005E13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E0180">
        <w:rPr>
          <w:rFonts w:eastAsia="Times New Roman" w:cs="Times New Roman"/>
          <w:sz w:val="24"/>
          <w:szCs w:val="24"/>
          <w:lang w:eastAsia="hu-HU"/>
        </w:rPr>
        <w:t>Az NHP</w:t>
      </w:r>
      <w:r w:rsidR="005E1394" w:rsidRPr="00DE0180">
        <w:rPr>
          <w:rFonts w:eastAsia="Times New Roman" w:cs="Times New Roman"/>
          <w:sz w:val="24"/>
          <w:szCs w:val="24"/>
          <w:lang w:eastAsia="hu-HU"/>
        </w:rPr>
        <w:t>-s</w:t>
      </w:r>
      <w:r w:rsidRPr="00DE0180">
        <w:rPr>
          <w:rFonts w:eastAsia="Times New Roman" w:cs="Times New Roman"/>
          <w:sz w:val="24"/>
          <w:szCs w:val="24"/>
          <w:lang w:eastAsia="hu-HU"/>
        </w:rPr>
        <w:t xml:space="preserve"> faktorálás lehetősége azon vállalkozásokat érheti el, amelyek NHP hitel</w:t>
      </w:r>
      <w:r w:rsidR="00C06051">
        <w:rPr>
          <w:rFonts w:eastAsia="Times New Roman" w:cs="Times New Roman"/>
          <w:sz w:val="24"/>
          <w:szCs w:val="24"/>
          <w:lang w:eastAsia="hu-HU"/>
        </w:rPr>
        <w:t xml:space="preserve">konstrukciókkal </w:t>
      </w:r>
      <w:r w:rsidRPr="00DE0180">
        <w:rPr>
          <w:rFonts w:eastAsia="Times New Roman" w:cs="Times New Roman"/>
          <w:sz w:val="24"/>
          <w:szCs w:val="24"/>
          <w:lang w:eastAsia="hu-HU"/>
        </w:rPr>
        <w:t>való kiszolgálása kockázati és fedezeti okok miatt nem lehetséges.</w:t>
      </w:r>
    </w:p>
    <w:p w14:paraId="27A9B139" w14:textId="30D2678E" w:rsidR="00205353" w:rsidRPr="00DE0180" w:rsidRDefault="00835601" w:rsidP="005E13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E0180">
        <w:rPr>
          <w:rFonts w:eastAsia="Times New Roman" w:cs="Times New Roman"/>
          <w:sz w:val="24"/>
          <w:szCs w:val="24"/>
          <w:lang w:eastAsia="hu-HU"/>
        </w:rPr>
        <w:t>Ügyféllé válhatnak a</w:t>
      </w:r>
      <w:r w:rsidR="00205353" w:rsidRPr="00DE0180">
        <w:rPr>
          <w:rFonts w:eastAsia="Times New Roman" w:cs="Times New Roman"/>
          <w:sz w:val="24"/>
          <w:szCs w:val="24"/>
          <w:lang w:eastAsia="hu-HU"/>
        </w:rPr>
        <w:t xml:space="preserve">zon NHP hitellel kiszolgált vállalkozások, amelyek számára az NHP feltételekkel kötött faktoring a faktoring sajátosságai miatt kedvezőbb volna, illetve nagyobb finanszírozási volumen elérését tenné lehetővé. </w:t>
      </w:r>
    </w:p>
    <w:p w14:paraId="18A5652C" w14:textId="1BC3C1B7" w:rsidR="00205353" w:rsidRPr="00DE0180" w:rsidRDefault="00205353" w:rsidP="005E13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E0180">
        <w:rPr>
          <w:rFonts w:eastAsia="Times New Roman" w:cs="Times New Roman"/>
          <w:sz w:val="24"/>
          <w:szCs w:val="24"/>
          <w:lang w:eastAsia="hu-HU"/>
        </w:rPr>
        <w:t xml:space="preserve">Az aktív értékesítési politika és a versenyképes árajánlat egyik legfontosabb szempontja a fizetési határidő. Amennyiben a vevőknek nyújtott áruhitel faktoringgal történő kiváltása alacsony költségekkel jár, vélhetően többen élnek </w:t>
      </w:r>
      <w:r w:rsidR="005E1394" w:rsidRPr="00DE0180">
        <w:rPr>
          <w:rFonts w:eastAsia="Times New Roman" w:cs="Times New Roman"/>
          <w:sz w:val="24"/>
          <w:szCs w:val="24"/>
          <w:lang w:eastAsia="hu-HU"/>
        </w:rPr>
        <w:t xml:space="preserve">majd </w:t>
      </w:r>
      <w:r w:rsidRPr="00DE0180">
        <w:rPr>
          <w:rFonts w:eastAsia="Times New Roman" w:cs="Times New Roman"/>
          <w:sz w:val="24"/>
          <w:szCs w:val="24"/>
          <w:lang w:eastAsia="hu-HU"/>
        </w:rPr>
        <w:t xml:space="preserve">a halasztott fizetéssel elérhető piacszerzés módszerével. </w:t>
      </w:r>
    </w:p>
    <w:p w14:paraId="49979E09" w14:textId="77777777" w:rsidR="00205353" w:rsidRPr="00DE0180" w:rsidRDefault="00205353" w:rsidP="0020535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6964E8E9" w14:textId="464212E2" w:rsidR="00835601" w:rsidRPr="00DE0180" w:rsidRDefault="00835601" w:rsidP="00835601">
      <w:pPr>
        <w:jc w:val="both"/>
        <w:rPr>
          <w:sz w:val="24"/>
          <w:szCs w:val="24"/>
        </w:rPr>
      </w:pPr>
      <w:r w:rsidRPr="00DE0180">
        <w:rPr>
          <w:rFonts w:eastAsia="Times New Roman" w:cs="Times New Roman"/>
          <w:sz w:val="24"/>
          <w:szCs w:val="24"/>
          <w:lang w:eastAsia="hu-HU"/>
        </w:rPr>
        <w:t xml:space="preserve">A szövetség becslése szerint az NHP faktoringra történő kiterjesztése révén az ügyfélszám és a kihelyezések növekedése éves szinten 15-20%-os is lehetne. </w:t>
      </w:r>
    </w:p>
    <w:p w14:paraId="7DA2F861" w14:textId="7C31A03E" w:rsidR="00E11741" w:rsidRDefault="00835601" w:rsidP="008356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E0180">
        <w:rPr>
          <w:rFonts w:eastAsia="Times New Roman" w:cs="Times New Roman"/>
          <w:sz w:val="24"/>
          <w:szCs w:val="24"/>
          <w:lang w:eastAsia="hu-HU"/>
        </w:rPr>
        <w:t>Az</w:t>
      </w:r>
      <w:r w:rsidR="00C54262">
        <w:rPr>
          <w:rFonts w:eastAsia="Times New Roman" w:cs="Times New Roman"/>
          <w:sz w:val="24"/>
          <w:szCs w:val="24"/>
          <w:lang w:eastAsia="hu-HU"/>
        </w:rPr>
        <w:t xml:space="preserve"> MNB lépése pozitív szándékot mutat, de az</w:t>
      </w:r>
      <w:r w:rsidRPr="00DE018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E11741" w:rsidRPr="00DE0180">
        <w:rPr>
          <w:rFonts w:eastAsia="Times New Roman" w:cs="Times New Roman"/>
          <w:sz w:val="24"/>
          <w:szCs w:val="24"/>
          <w:lang w:eastAsia="hu-HU"/>
        </w:rPr>
        <w:t>NHP-s</w:t>
      </w:r>
      <w:r w:rsidR="00C54262">
        <w:rPr>
          <w:rFonts w:eastAsia="Times New Roman" w:cs="Times New Roman"/>
          <w:sz w:val="24"/>
          <w:szCs w:val="24"/>
          <w:lang w:eastAsia="hu-HU"/>
        </w:rPr>
        <w:t xml:space="preserve"> faktoring</w:t>
      </w:r>
      <w:r w:rsidR="00E11741" w:rsidRPr="00DE0180">
        <w:rPr>
          <w:rFonts w:eastAsia="Times New Roman" w:cs="Times New Roman"/>
          <w:sz w:val="24"/>
          <w:szCs w:val="24"/>
          <w:lang w:eastAsia="hu-HU"/>
        </w:rPr>
        <w:t xml:space="preserve"> konstrukció</w:t>
      </w:r>
      <w:r w:rsidR="00C54262">
        <w:rPr>
          <w:rFonts w:eastAsia="Times New Roman" w:cs="Times New Roman"/>
          <w:sz w:val="24"/>
          <w:szCs w:val="24"/>
          <w:lang w:eastAsia="hu-HU"/>
        </w:rPr>
        <w:t xml:space="preserve"> szabályrendszerében számos olyan részletszabály került beépítésére, amely rendkívül megnehezíti vagy lehetetlenné teszi a válla</w:t>
      </w:r>
      <w:r w:rsidR="00EC624D">
        <w:rPr>
          <w:rFonts w:eastAsia="Times New Roman" w:cs="Times New Roman"/>
          <w:sz w:val="24"/>
          <w:szCs w:val="24"/>
          <w:lang w:eastAsia="hu-HU"/>
        </w:rPr>
        <w:t>l</w:t>
      </w:r>
      <w:r w:rsidR="00C54262">
        <w:rPr>
          <w:rFonts w:eastAsia="Times New Roman" w:cs="Times New Roman"/>
          <w:sz w:val="24"/>
          <w:szCs w:val="24"/>
          <w:lang w:eastAsia="hu-HU"/>
        </w:rPr>
        <w:t>kozások számára igénybe vehető termék kínálatba állítását</w:t>
      </w:r>
      <w:r w:rsidR="00E11741" w:rsidRPr="00DE0180">
        <w:rPr>
          <w:rFonts w:eastAsia="Times New Roman" w:cs="Times New Roman"/>
          <w:sz w:val="24"/>
          <w:szCs w:val="24"/>
          <w:lang w:eastAsia="hu-HU"/>
        </w:rPr>
        <w:t xml:space="preserve">: </w:t>
      </w:r>
    </w:p>
    <w:p w14:paraId="391BC2FC" w14:textId="77777777" w:rsidR="006057CE" w:rsidRPr="00DE0180" w:rsidRDefault="006057CE" w:rsidP="008356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79141EA7" w14:textId="298B0E92" w:rsidR="006057CE" w:rsidRPr="0045703F" w:rsidRDefault="00E11741" w:rsidP="006057C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5703F">
        <w:rPr>
          <w:rFonts w:eastAsia="Times New Roman" w:cs="Times New Roman"/>
          <w:sz w:val="24"/>
          <w:szCs w:val="24"/>
          <w:lang w:eastAsia="hu-HU"/>
        </w:rPr>
        <w:t xml:space="preserve">Sajnálatos tény, hogy a </w:t>
      </w:r>
      <w:r w:rsidR="00492FDB" w:rsidRPr="0045703F">
        <w:rPr>
          <w:sz w:val="24"/>
          <w:szCs w:val="24"/>
        </w:rPr>
        <w:t>konstrukció</w:t>
      </w:r>
      <w:r w:rsidRPr="0045703F">
        <w:rPr>
          <w:sz w:val="24"/>
          <w:szCs w:val="24"/>
        </w:rPr>
        <w:t>t a jelenlegi formájában</w:t>
      </w:r>
      <w:r w:rsidR="00492FDB" w:rsidRPr="0045703F">
        <w:rPr>
          <w:sz w:val="24"/>
          <w:szCs w:val="24"/>
        </w:rPr>
        <w:t xml:space="preserve"> a független faktorcégek nem tud</w:t>
      </w:r>
      <w:r w:rsidRPr="0045703F">
        <w:rPr>
          <w:sz w:val="24"/>
          <w:szCs w:val="24"/>
        </w:rPr>
        <w:t xml:space="preserve">ják igénybe venni. </w:t>
      </w:r>
      <w:r w:rsidRPr="0045703F">
        <w:rPr>
          <w:rFonts w:eastAsia="Times New Roman" w:cs="Times New Roman"/>
          <w:sz w:val="24"/>
          <w:szCs w:val="24"/>
          <w:lang w:eastAsia="hu-HU"/>
        </w:rPr>
        <w:t>A</w:t>
      </w:r>
      <w:r w:rsidR="00835601" w:rsidRPr="0045703F">
        <w:rPr>
          <w:rFonts w:eastAsia="Times New Roman" w:cs="Times New Roman"/>
          <w:sz w:val="24"/>
          <w:szCs w:val="24"/>
          <w:lang w:eastAsia="hu-HU"/>
        </w:rPr>
        <w:t xml:space="preserve"> faktoring piac kb. 2</w:t>
      </w:r>
      <w:r w:rsidR="00C54262" w:rsidRPr="0045703F">
        <w:rPr>
          <w:rFonts w:eastAsia="Times New Roman" w:cs="Times New Roman"/>
          <w:sz w:val="24"/>
          <w:szCs w:val="24"/>
          <w:lang w:eastAsia="hu-HU"/>
        </w:rPr>
        <w:t>3</w:t>
      </w:r>
      <w:r w:rsidR="00835601" w:rsidRPr="0045703F">
        <w:rPr>
          <w:rFonts w:eastAsia="Times New Roman" w:cs="Times New Roman"/>
          <w:sz w:val="24"/>
          <w:szCs w:val="24"/>
          <w:lang w:eastAsia="hu-HU"/>
        </w:rPr>
        <w:t xml:space="preserve">%-át független pénzügyi vállalkozások adják, amelyek számára a refinanszírozás szűkössége jelentős tevékenységkorlátozó tényező. </w:t>
      </w:r>
      <w:r w:rsidR="003E495B" w:rsidRPr="0045703F">
        <w:rPr>
          <w:rFonts w:eastAsia="Times New Roman" w:cs="Times New Roman"/>
          <w:sz w:val="24"/>
          <w:szCs w:val="24"/>
          <w:lang w:eastAsia="hu-HU"/>
        </w:rPr>
        <w:t>E</w:t>
      </w:r>
      <w:r w:rsidRPr="0045703F">
        <w:rPr>
          <w:rFonts w:eastAsia="Times New Roman" w:cs="Times New Roman"/>
          <w:sz w:val="24"/>
          <w:szCs w:val="24"/>
          <w:lang w:eastAsia="hu-HU"/>
        </w:rPr>
        <w:t xml:space="preserve"> faktorcégek közvetlenül nem, csak valamely kereskedelmi bankon keresztül tudn</w:t>
      </w:r>
      <w:r w:rsidR="003339CF" w:rsidRPr="0045703F">
        <w:rPr>
          <w:rFonts w:eastAsia="Times New Roman" w:cs="Times New Roman"/>
          <w:sz w:val="24"/>
          <w:szCs w:val="24"/>
          <w:lang w:eastAsia="hu-HU"/>
        </w:rPr>
        <w:t>ának NHP-s forráshoz jutni</w:t>
      </w:r>
      <w:r w:rsidR="003E495B" w:rsidRPr="0045703F">
        <w:rPr>
          <w:rFonts w:eastAsia="Times New Roman" w:cs="Times New Roman"/>
          <w:sz w:val="24"/>
          <w:szCs w:val="24"/>
          <w:lang w:eastAsia="hu-HU"/>
        </w:rPr>
        <w:t xml:space="preserve">. Ehhez </w:t>
      </w:r>
      <w:r w:rsidR="003339CF" w:rsidRPr="0045703F">
        <w:rPr>
          <w:rFonts w:eastAsia="Times New Roman" w:cs="Times New Roman"/>
          <w:sz w:val="24"/>
          <w:szCs w:val="24"/>
          <w:lang w:eastAsia="hu-HU"/>
        </w:rPr>
        <w:t xml:space="preserve">azonban </w:t>
      </w:r>
      <w:r w:rsidR="003E495B" w:rsidRPr="0045703F">
        <w:rPr>
          <w:rFonts w:eastAsia="Times New Roman" w:cs="Times New Roman"/>
          <w:sz w:val="24"/>
          <w:szCs w:val="24"/>
          <w:lang w:eastAsia="hu-HU"/>
        </w:rPr>
        <w:t>nem állnak rendelkezésre a</w:t>
      </w:r>
      <w:r w:rsidR="0045703F" w:rsidRPr="0045703F">
        <w:rPr>
          <w:rFonts w:eastAsia="Times New Roman" w:cs="Times New Roman"/>
          <w:sz w:val="24"/>
          <w:szCs w:val="24"/>
          <w:lang w:eastAsia="hu-HU"/>
        </w:rPr>
        <w:t>z MNB által előírt biztosítéki feltételek</w:t>
      </w:r>
      <w:r w:rsidR="003E495B" w:rsidRPr="0045703F">
        <w:rPr>
          <w:rFonts w:eastAsia="Times New Roman" w:cs="Times New Roman"/>
          <w:sz w:val="24"/>
          <w:szCs w:val="24"/>
          <w:lang w:eastAsia="hu-HU"/>
        </w:rPr>
        <w:t xml:space="preserve">.  </w:t>
      </w:r>
    </w:p>
    <w:p w14:paraId="4442CED2" w14:textId="3D6DEDBE" w:rsidR="003E495B" w:rsidRDefault="003E495B" w:rsidP="003E495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DE0180">
        <w:rPr>
          <w:sz w:val="24"/>
          <w:szCs w:val="24"/>
        </w:rPr>
        <w:t>A másik alapvető probléma</w:t>
      </w:r>
      <w:r w:rsidR="0045703F">
        <w:rPr>
          <w:sz w:val="24"/>
          <w:szCs w:val="24"/>
        </w:rPr>
        <w:t>, hogy az ügyfelek finanszírozásához szükséges forrást az MNB havi egy alkalommal teszi elérhetővé.</w:t>
      </w:r>
      <w:r w:rsidRPr="00DE0180">
        <w:rPr>
          <w:sz w:val="24"/>
          <w:szCs w:val="24"/>
        </w:rPr>
        <w:t xml:space="preserve"> </w:t>
      </w:r>
      <w:r w:rsidR="0045703F">
        <w:rPr>
          <w:sz w:val="24"/>
          <w:szCs w:val="24"/>
        </w:rPr>
        <w:t>A f</w:t>
      </w:r>
      <w:r w:rsidR="0045703F" w:rsidRPr="00DE0180">
        <w:rPr>
          <w:sz w:val="24"/>
          <w:szCs w:val="24"/>
        </w:rPr>
        <w:t>aktoring eseté</w:t>
      </w:r>
      <w:r w:rsidR="0045703F">
        <w:rPr>
          <w:sz w:val="24"/>
          <w:szCs w:val="24"/>
        </w:rPr>
        <w:t>be</w:t>
      </w:r>
      <w:r w:rsidR="0045703F" w:rsidRPr="00DE0180">
        <w:rPr>
          <w:sz w:val="24"/>
          <w:szCs w:val="24"/>
        </w:rPr>
        <w:t xml:space="preserve">n </w:t>
      </w:r>
      <w:r w:rsidR="0045703F">
        <w:rPr>
          <w:sz w:val="24"/>
          <w:szCs w:val="24"/>
        </w:rPr>
        <w:t xml:space="preserve">azonban </w:t>
      </w:r>
      <w:r w:rsidR="0045703F" w:rsidRPr="00DE0180">
        <w:rPr>
          <w:sz w:val="24"/>
          <w:szCs w:val="24"/>
        </w:rPr>
        <w:t xml:space="preserve">a hitelállomány folyamatosan (naponta) </w:t>
      </w:r>
      <w:r w:rsidR="0045703F">
        <w:rPr>
          <w:sz w:val="24"/>
          <w:szCs w:val="24"/>
        </w:rPr>
        <w:t>változik, így az ügyfelek folyamatos kiszolgálása nem lehetséges</w:t>
      </w:r>
      <w:r w:rsidR="000D1675" w:rsidRPr="00DE0180">
        <w:rPr>
          <w:sz w:val="24"/>
          <w:szCs w:val="24"/>
        </w:rPr>
        <w:t xml:space="preserve">. </w:t>
      </w:r>
    </w:p>
    <w:p w14:paraId="3D46577C" w14:textId="4F53060D" w:rsidR="0045703F" w:rsidRPr="00DE0180" w:rsidRDefault="0045703F" w:rsidP="003E495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NHP faktoringgal nem lehetséges állami vagy uniós támogatások finanszírozása (hitellel igen), ami egy jelentős ügyfélkört foszt meg az igénybevétel lehetőségétől.</w:t>
      </w:r>
    </w:p>
    <w:p w14:paraId="53792C24" w14:textId="4FB059FD" w:rsidR="00DD2BE7" w:rsidRPr="00DE0180" w:rsidRDefault="003E495B" w:rsidP="003E495B">
      <w:pPr>
        <w:ind w:left="360"/>
        <w:jc w:val="both"/>
        <w:rPr>
          <w:sz w:val="24"/>
          <w:szCs w:val="24"/>
        </w:rPr>
      </w:pPr>
      <w:r w:rsidRPr="00DE0180">
        <w:rPr>
          <w:sz w:val="24"/>
          <w:szCs w:val="24"/>
        </w:rPr>
        <w:t xml:space="preserve">A szövetség </w:t>
      </w:r>
      <w:r w:rsidR="006057CE">
        <w:rPr>
          <w:sz w:val="24"/>
          <w:szCs w:val="24"/>
        </w:rPr>
        <w:t>a konstrukció hatékonyságának fokozása érdekében</w:t>
      </w:r>
      <w:r w:rsidRPr="00DE0180">
        <w:rPr>
          <w:sz w:val="24"/>
          <w:szCs w:val="24"/>
        </w:rPr>
        <w:t xml:space="preserve"> alternatív javaslatokat tesz az MNB-nek.</w:t>
      </w:r>
      <w:r w:rsidR="000D1675" w:rsidRPr="00DE0180">
        <w:rPr>
          <w:sz w:val="24"/>
          <w:szCs w:val="24"/>
        </w:rPr>
        <w:t xml:space="preserve"> Mivel kölcsönös érdek a feltételek módosítása, reméljük, hogy a korrekciók mielőbb megtörténnek.</w:t>
      </w:r>
      <w:r w:rsidRPr="00DE0180">
        <w:rPr>
          <w:sz w:val="24"/>
          <w:szCs w:val="24"/>
        </w:rPr>
        <w:t xml:space="preserve"> </w:t>
      </w:r>
      <w:r w:rsidR="0045703F">
        <w:rPr>
          <w:sz w:val="24"/>
          <w:szCs w:val="24"/>
        </w:rPr>
        <w:t xml:space="preserve">Ennek függvényében abban bízunk, hogy az NHP faktoring termékek </w:t>
      </w:r>
      <w:r w:rsidR="00EC624D">
        <w:rPr>
          <w:sz w:val="24"/>
          <w:szCs w:val="24"/>
        </w:rPr>
        <w:t>1-1,5 hónap múlva beker</w:t>
      </w:r>
      <w:r w:rsidR="000806C7">
        <w:rPr>
          <w:sz w:val="24"/>
          <w:szCs w:val="24"/>
        </w:rPr>
        <w:t>ülhetnek a faktorok kínálatába.</w:t>
      </w:r>
    </w:p>
    <w:p w14:paraId="0D552562" w14:textId="77777777" w:rsidR="0096139E" w:rsidRPr="005B1A19" w:rsidRDefault="0096139E" w:rsidP="0096139E">
      <w:pPr>
        <w:jc w:val="both"/>
        <w:rPr>
          <w:b/>
          <w:sz w:val="24"/>
          <w:szCs w:val="24"/>
        </w:rPr>
      </w:pPr>
      <w:r w:rsidRPr="00DE0180">
        <w:rPr>
          <w:b/>
          <w:sz w:val="24"/>
          <w:szCs w:val="24"/>
        </w:rPr>
        <w:t>Új jogi háttér</w:t>
      </w:r>
    </w:p>
    <w:p w14:paraId="18B3CA58" w14:textId="4D149493" w:rsidR="00812CFA" w:rsidRDefault="0096139E" w:rsidP="0096139E">
      <w:pPr>
        <w:jc w:val="both"/>
        <w:rPr>
          <w:rFonts w:cs="Times New Roman"/>
          <w:sz w:val="24"/>
          <w:szCs w:val="24"/>
        </w:rPr>
      </w:pPr>
      <w:r w:rsidRPr="00DE0180">
        <w:rPr>
          <w:rFonts w:cs="Times New Roman"/>
          <w:sz w:val="24"/>
          <w:szCs w:val="24"/>
        </w:rPr>
        <w:t xml:space="preserve">Az új Ptk. </w:t>
      </w:r>
      <w:r w:rsidR="000806C7">
        <w:rPr>
          <w:rFonts w:cs="Times New Roman"/>
          <w:sz w:val="24"/>
          <w:szCs w:val="24"/>
        </w:rPr>
        <w:t xml:space="preserve">2014. március 15-i hatályba </w:t>
      </w:r>
      <w:r w:rsidRPr="00DE0180">
        <w:rPr>
          <w:rFonts w:cs="Times New Roman"/>
          <w:sz w:val="24"/>
          <w:szCs w:val="24"/>
        </w:rPr>
        <w:t xml:space="preserve">lépése </w:t>
      </w:r>
      <w:r w:rsidR="000806C7">
        <w:rPr>
          <w:rFonts w:cs="Times New Roman"/>
          <w:sz w:val="24"/>
          <w:szCs w:val="24"/>
        </w:rPr>
        <w:t>sok munkát és feladatot jelente</w:t>
      </w:r>
      <w:r w:rsidR="004153DE">
        <w:rPr>
          <w:rFonts w:cs="Times New Roman"/>
          <w:sz w:val="24"/>
          <w:szCs w:val="24"/>
        </w:rPr>
        <w:t>t</w:t>
      </w:r>
      <w:r w:rsidR="000806C7">
        <w:rPr>
          <w:rFonts w:cs="Times New Roman"/>
          <w:sz w:val="24"/>
          <w:szCs w:val="24"/>
        </w:rPr>
        <w:t xml:space="preserve">t </w:t>
      </w:r>
      <w:r w:rsidRPr="00DE0180">
        <w:rPr>
          <w:rFonts w:cs="Times New Roman"/>
          <w:sz w:val="24"/>
          <w:szCs w:val="24"/>
        </w:rPr>
        <w:t>a faktorok</w:t>
      </w:r>
      <w:r w:rsidR="000806C7">
        <w:rPr>
          <w:rFonts w:cs="Times New Roman"/>
          <w:sz w:val="24"/>
          <w:szCs w:val="24"/>
        </w:rPr>
        <w:t xml:space="preserve"> számára. Évek óta jól működő,</w:t>
      </w:r>
      <w:r w:rsidRPr="00DE0180">
        <w:rPr>
          <w:rFonts w:cs="Times New Roman"/>
          <w:sz w:val="24"/>
          <w:szCs w:val="24"/>
        </w:rPr>
        <w:t xml:space="preserve"> és</w:t>
      </w:r>
      <w:r w:rsidR="000806C7">
        <w:rPr>
          <w:rFonts w:cs="Times New Roman"/>
          <w:sz w:val="24"/>
          <w:szCs w:val="24"/>
        </w:rPr>
        <w:t xml:space="preserve"> a</w:t>
      </w:r>
      <w:r w:rsidRPr="00DE0180">
        <w:rPr>
          <w:rFonts w:cs="Times New Roman"/>
          <w:sz w:val="24"/>
          <w:szCs w:val="24"/>
        </w:rPr>
        <w:t xml:space="preserve"> nemzetközi joggal is harmonizáló szerződéskötési </w:t>
      </w:r>
      <w:r w:rsidR="00812CFA">
        <w:rPr>
          <w:rFonts w:cs="Times New Roman"/>
          <w:sz w:val="24"/>
          <w:szCs w:val="24"/>
        </w:rPr>
        <w:t xml:space="preserve">és finanszírozási eljárási </w:t>
      </w:r>
      <w:r w:rsidRPr="00DE0180">
        <w:rPr>
          <w:rFonts w:cs="Times New Roman"/>
          <w:sz w:val="24"/>
          <w:szCs w:val="24"/>
        </w:rPr>
        <w:t xml:space="preserve">gyakorlatot </w:t>
      </w:r>
      <w:r w:rsidR="000806C7">
        <w:rPr>
          <w:rFonts w:cs="Times New Roman"/>
          <w:sz w:val="24"/>
          <w:szCs w:val="24"/>
        </w:rPr>
        <w:t>kellett megszüntetni, helyette új termékeket, szerződéses konstrukciókat, eljárási folyamatokat kellett kialakítani. A helyzetet nehezítette, hogy a faktoring szerződéseket a jövőben be kell jegyezni a hitelbiztosítéki nyilvántartási rendszerbe, amely a Ptk. hatályba lépését</w:t>
      </w:r>
      <w:r w:rsidR="00812CFA">
        <w:rPr>
          <w:rFonts w:cs="Times New Roman"/>
          <w:sz w:val="24"/>
          <w:szCs w:val="24"/>
        </w:rPr>
        <w:t xml:space="preserve"> követő hosszú hetekig nem, illetve</w:t>
      </w:r>
      <w:r w:rsidR="000806C7">
        <w:rPr>
          <w:rFonts w:cs="Times New Roman"/>
          <w:sz w:val="24"/>
          <w:szCs w:val="24"/>
        </w:rPr>
        <w:t xml:space="preserve"> csak ideiglenes szabályok mentén működött. A követelések visszkereset mentes megvásárlására teljesen új szerződéses konstrukciót kellett kialakítani. Számos jogi tisztázatlanság vár megoldásra a követelésbiztosítási szerződések és a faktoring összefüggésében is. </w:t>
      </w:r>
    </w:p>
    <w:p w14:paraId="36406F9E" w14:textId="5480CB59" w:rsidR="00812CFA" w:rsidRDefault="000806C7" w:rsidP="0096139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problémák ellenére a faktorok megfeszített munkával megoldották a fel</w:t>
      </w:r>
      <w:r w:rsidR="00812CFA">
        <w:rPr>
          <w:rFonts w:cs="Times New Roman"/>
          <w:sz w:val="24"/>
          <w:szCs w:val="24"/>
        </w:rPr>
        <w:t xml:space="preserve">adatokat és az ügyfelek számára </w:t>
      </w:r>
      <w:r>
        <w:rPr>
          <w:rFonts w:cs="Times New Roman"/>
          <w:sz w:val="24"/>
          <w:szCs w:val="24"/>
        </w:rPr>
        <w:t>fenn tudták tartani a folyamatos, zavarmentes kiszolgálá</w:t>
      </w:r>
      <w:r w:rsidR="00812CF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t. </w:t>
      </w:r>
    </w:p>
    <w:p w14:paraId="1687D102" w14:textId="6106D1C5" w:rsidR="0096139E" w:rsidRPr="00DE0180" w:rsidRDefault="0096139E" w:rsidP="0096139E">
      <w:pPr>
        <w:jc w:val="both"/>
        <w:rPr>
          <w:rFonts w:cs="Times New Roman"/>
          <w:sz w:val="24"/>
          <w:szCs w:val="24"/>
        </w:rPr>
      </w:pPr>
      <w:r w:rsidRPr="00DE0180">
        <w:rPr>
          <w:rFonts w:cs="Times New Roman"/>
          <w:sz w:val="24"/>
          <w:szCs w:val="24"/>
        </w:rPr>
        <w:t xml:space="preserve">Remélhető, hogy a mostani jogszabályi környezet lényeges változáson már nem megy keresztül, mert az üzleti élet zavartalan és stabil működéséhez a </w:t>
      </w:r>
      <w:r>
        <w:rPr>
          <w:rFonts w:cs="Times New Roman"/>
          <w:sz w:val="24"/>
          <w:szCs w:val="24"/>
        </w:rPr>
        <w:t>következő időszakban ez szükséges.</w:t>
      </w:r>
      <w:r w:rsidRPr="00DE0180">
        <w:rPr>
          <w:rFonts w:cs="Times New Roman"/>
          <w:sz w:val="24"/>
          <w:szCs w:val="24"/>
        </w:rPr>
        <w:t xml:space="preserve"> </w:t>
      </w:r>
    </w:p>
    <w:bookmarkEnd w:id="0"/>
    <w:p w14:paraId="183CED0E" w14:textId="77777777" w:rsidR="00DE0180" w:rsidRPr="00DE0180" w:rsidRDefault="00DE0180">
      <w:pPr>
        <w:ind w:left="360"/>
        <w:jc w:val="both"/>
        <w:rPr>
          <w:sz w:val="24"/>
          <w:szCs w:val="24"/>
        </w:rPr>
      </w:pPr>
    </w:p>
    <w:sectPr w:rsidR="00DE0180" w:rsidRPr="00DE0180" w:rsidSect="00DE018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EE0D" w14:textId="77777777" w:rsidR="0074243C" w:rsidRDefault="0074243C" w:rsidP="00346B14">
      <w:pPr>
        <w:spacing w:after="0" w:line="240" w:lineRule="auto"/>
      </w:pPr>
      <w:r>
        <w:separator/>
      </w:r>
    </w:p>
  </w:endnote>
  <w:endnote w:type="continuationSeparator" w:id="0">
    <w:p w14:paraId="29A21B88" w14:textId="77777777" w:rsidR="0074243C" w:rsidRDefault="0074243C" w:rsidP="0034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6759" w14:textId="2EFA076F" w:rsidR="00346B14" w:rsidRDefault="0074243C" w:rsidP="00D009DD">
    <w:pPr>
      <w:pStyle w:val="llb"/>
      <w:tabs>
        <w:tab w:val="clear" w:pos="4536"/>
        <w:tab w:val="clear" w:pos="9072"/>
        <w:tab w:val="left" w:pos="2085"/>
      </w:tabs>
      <w:jc w:val="center"/>
    </w:pPr>
    <w:sdt>
      <w:sdtPr>
        <w:id w:val="-1917309385"/>
        <w:docPartObj>
          <w:docPartGallery w:val="Page Numbers (Bottom of Page)"/>
          <w:docPartUnique/>
        </w:docPartObj>
      </w:sdtPr>
      <w:sdtEndPr/>
      <w:sdtContent>
        <w:r w:rsidR="00346B14">
          <w:fldChar w:fldCharType="begin"/>
        </w:r>
        <w:r w:rsidR="00346B14">
          <w:instrText>PAGE   \* MERGEFORMAT</w:instrText>
        </w:r>
        <w:r w:rsidR="00346B14">
          <w:fldChar w:fldCharType="separate"/>
        </w:r>
        <w:r w:rsidR="004153DE">
          <w:rPr>
            <w:noProof/>
          </w:rPr>
          <w:t>5</w:t>
        </w:r>
        <w:r w:rsidR="00346B14">
          <w:fldChar w:fldCharType="end"/>
        </w:r>
      </w:sdtContent>
    </w:sdt>
  </w:p>
  <w:p w14:paraId="1D5160B1" w14:textId="77777777" w:rsidR="00346B14" w:rsidRDefault="00346B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CBC9" w14:textId="77777777" w:rsidR="0074243C" w:rsidRDefault="0074243C" w:rsidP="00346B14">
      <w:pPr>
        <w:spacing w:after="0" w:line="240" w:lineRule="auto"/>
      </w:pPr>
      <w:r>
        <w:separator/>
      </w:r>
    </w:p>
  </w:footnote>
  <w:footnote w:type="continuationSeparator" w:id="0">
    <w:p w14:paraId="246E5D7C" w14:textId="77777777" w:rsidR="0074243C" w:rsidRDefault="0074243C" w:rsidP="00346B14">
      <w:pPr>
        <w:spacing w:after="0" w:line="240" w:lineRule="auto"/>
      </w:pPr>
      <w:r>
        <w:continuationSeparator/>
      </w:r>
    </w:p>
  </w:footnote>
  <w:footnote w:id="1">
    <w:p w14:paraId="68DB4E04" w14:textId="7725706A" w:rsidR="007032C5" w:rsidRDefault="007032C5">
      <w:pPr>
        <w:pStyle w:val="Lbjegyzetszveg"/>
      </w:pPr>
      <w:r>
        <w:rPr>
          <w:rStyle w:val="Lbjegyzet-hivatkozs"/>
        </w:rPr>
        <w:footnoteRef/>
      </w:r>
      <w:r>
        <w:t xml:space="preserve"> F</w:t>
      </w:r>
      <w:r w:rsidR="00DB59E0">
        <w:t>actor</w:t>
      </w:r>
      <w:r>
        <w:t xml:space="preserve"> Chain I</w:t>
      </w:r>
      <w:r w:rsidR="00DB59E0">
        <w:t>nternational adatok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EC0"/>
    <w:multiLevelType w:val="hybridMultilevel"/>
    <w:tmpl w:val="45BEF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B1146"/>
    <w:multiLevelType w:val="hybridMultilevel"/>
    <w:tmpl w:val="C12078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F498C"/>
    <w:multiLevelType w:val="hybridMultilevel"/>
    <w:tmpl w:val="4CF26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A75F4"/>
    <w:multiLevelType w:val="hybridMultilevel"/>
    <w:tmpl w:val="4CF26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25DB"/>
    <w:multiLevelType w:val="hybridMultilevel"/>
    <w:tmpl w:val="3A0C4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75DF"/>
    <w:multiLevelType w:val="hybridMultilevel"/>
    <w:tmpl w:val="4DAC4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4882"/>
    <w:multiLevelType w:val="hybridMultilevel"/>
    <w:tmpl w:val="1504BDB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70"/>
    <w:rsid w:val="00023C41"/>
    <w:rsid w:val="00062014"/>
    <w:rsid w:val="00066B37"/>
    <w:rsid w:val="000806C7"/>
    <w:rsid w:val="000A3E80"/>
    <w:rsid w:val="000D1675"/>
    <w:rsid w:val="000D5826"/>
    <w:rsid w:val="00112640"/>
    <w:rsid w:val="001401EC"/>
    <w:rsid w:val="00174A37"/>
    <w:rsid w:val="00190801"/>
    <w:rsid w:val="001B55D0"/>
    <w:rsid w:val="001C09CD"/>
    <w:rsid w:val="001E6572"/>
    <w:rsid w:val="00205353"/>
    <w:rsid w:val="00223AD1"/>
    <w:rsid w:val="002C3D2A"/>
    <w:rsid w:val="002F68F2"/>
    <w:rsid w:val="003339CF"/>
    <w:rsid w:val="00342DD9"/>
    <w:rsid w:val="00346B14"/>
    <w:rsid w:val="003547FF"/>
    <w:rsid w:val="003A4A5B"/>
    <w:rsid w:val="003E495B"/>
    <w:rsid w:val="004136AE"/>
    <w:rsid w:val="004153DE"/>
    <w:rsid w:val="00446F20"/>
    <w:rsid w:val="0045703F"/>
    <w:rsid w:val="00474A33"/>
    <w:rsid w:val="00483FC1"/>
    <w:rsid w:val="004873EA"/>
    <w:rsid w:val="00492FDB"/>
    <w:rsid w:val="004D4EC3"/>
    <w:rsid w:val="004D6110"/>
    <w:rsid w:val="00502C45"/>
    <w:rsid w:val="005128CD"/>
    <w:rsid w:val="005B1A19"/>
    <w:rsid w:val="005B1BA5"/>
    <w:rsid w:val="005C3144"/>
    <w:rsid w:val="005D0737"/>
    <w:rsid w:val="005E1394"/>
    <w:rsid w:val="0060287E"/>
    <w:rsid w:val="006057CE"/>
    <w:rsid w:val="0061598E"/>
    <w:rsid w:val="00627EB7"/>
    <w:rsid w:val="00632E90"/>
    <w:rsid w:val="00663871"/>
    <w:rsid w:val="00680C8D"/>
    <w:rsid w:val="006B1EE7"/>
    <w:rsid w:val="007032C5"/>
    <w:rsid w:val="007129B9"/>
    <w:rsid w:val="00742004"/>
    <w:rsid w:val="0074243C"/>
    <w:rsid w:val="00744B2F"/>
    <w:rsid w:val="007514B9"/>
    <w:rsid w:val="00772AA8"/>
    <w:rsid w:val="007808CE"/>
    <w:rsid w:val="007A0176"/>
    <w:rsid w:val="007D538C"/>
    <w:rsid w:val="007F6BA3"/>
    <w:rsid w:val="00812B1E"/>
    <w:rsid w:val="00812CFA"/>
    <w:rsid w:val="00823B66"/>
    <w:rsid w:val="008250B2"/>
    <w:rsid w:val="00835601"/>
    <w:rsid w:val="00893855"/>
    <w:rsid w:val="008B0E05"/>
    <w:rsid w:val="008E7C48"/>
    <w:rsid w:val="0091365A"/>
    <w:rsid w:val="009272BA"/>
    <w:rsid w:val="0096139E"/>
    <w:rsid w:val="00966A81"/>
    <w:rsid w:val="00967243"/>
    <w:rsid w:val="009D6670"/>
    <w:rsid w:val="00A10DB8"/>
    <w:rsid w:val="00A350CC"/>
    <w:rsid w:val="00A5162C"/>
    <w:rsid w:val="00AE69EB"/>
    <w:rsid w:val="00B005A3"/>
    <w:rsid w:val="00B42693"/>
    <w:rsid w:val="00B60175"/>
    <w:rsid w:val="00B92F34"/>
    <w:rsid w:val="00BD1AAE"/>
    <w:rsid w:val="00C06051"/>
    <w:rsid w:val="00C13269"/>
    <w:rsid w:val="00C2079E"/>
    <w:rsid w:val="00C3030F"/>
    <w:rsid w:val="00C54262"/>
    <w:rsid w:val="00CB22F5"/>
    <w:rsid w:val="00D009DD"/>
    <w:rsid w:val="00DB59E0"/>
    <w:rsid w:val="00DD2BE7"/>
    <w:rsid w:val="00DE0180"/>
    <w:rsid w:val="00DF5F3E"/>
    <w:rsid w:val="00E110A8"/>
    <w:rsid w:val="00E11741"/>
    <w:rsid w:val="00E33DA9"/>
    <w:rsid w:val="00E660D0"/>
    <w:rsid w:val="00E96CBE"/>
    <w:rsid w:val="00EB0839"/>
    <w:rsid w:val="00EC624D"/>
    <w:rsid w:val="00ED7C59"/>
    <w:rsid w:val="00F1282E"/>
    <w:rsid w:val="00F13730"/>
    <w:rsid w:val="00F27C4D"/>
    <w:rsid w:val="00F74097"/>
    <w:rsid w:val="00F74131"/>
    <w:rsid w:val="00F86691"/>
    <w:rsid w:val="00FB5139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72BC"/>
  <w15:docId w15:val="{FA447113-2EAD-4E45-AB03-F737016A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D2A"/>
    <w:pPr>
      <w:ind w:left="720"/>
      <w:contextualSpacing/>
    </w:pPr>
  </w:style>
  <w:style w:type="table" w:styleId="Rcsostblzat">
    <w:name w:val="Table Grid"/>
    <w:basedOn w:val="Normltblzat"/>
    <w:uiPriority w:val="59"/>
    <w:rsid w:val="007A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4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B14"/>
  </w:style>
  <w:style w:type="paragraph" w:styleId="llb">
    <w:name w:val="footer"/>
    <w:basedOn w:val="Norml"/>
    <w:link w:val="llbChar"/>
    <w:uiPriority w:val="99"/>
    <w:unhideWhenUsed/>
    <w:rsid w:val="0034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B14"/>
  </w:style>
  <w:style w:type="character" w:styleId="Jegyzethivatkozs">
    <w:name w:val="annotation reference"/>
    <w:basedOn w:val="Bekezdsalapbettpusa"/>
    <w:uiPriority w:val="99"/>
    <w:semiHidden/>
    <w:unhideWhenUsed/>
    <w:rsid w:val="001B55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55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55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55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55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5D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32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32C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3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&#233;n\Documents\MFSZ\statisztika\M&#225;solat%20eredetijeMFSZ_diagramok_2014_06_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&#233;n\Documents\MFSZ\statisztika\M&#225;solat%20eredetijeMFSZ_diagramok_2014_06_3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000"/>
              <a:t>Bruttó faktorált forgalom alakulása, md. HUF</a:t>
            </a:r>
          </a:p>
        </c:rich>
      </c:tx>
      <c:layout>
        <c:manualLayout>
          <c:xMode val="edge"/>
          <c:yMode val="edge"/>
          <c:x val="0.19374068554396431"/>
          <c:y val="3.14960629921259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10233482364631"/>
          <c:y val="0.22222277333443555"/>
          <c:w val="0.65908564814814818"/>
          <c:h val="0.58005398020725651"/>
        </c:manualLayout>
      </c:layout>
      <c:lineChart>
        <c:grouping val="standard"/>
        <c:varyColors val="0"/>
        <c:ser>
          <c:idx val="0"/>
          <c:order val="0"/>
          <c:tx>
            <c:strRef>
              <c:f>'6. diagram'!$B$3</c:f>
              <c:strCache>
                <c:ptCount val="1"/>
                <c:pt idx="0">
                  <c:v>belföld</c:v>
                </c:pt>
              </c:strCache>
            </c:strRef>
          </c:tx>
          <c:marker>
            <c:symbol val="none"/>
          </c:marker>
          <c:cat>
            <c:numRef>
              <c:f>'6. diagram'!$A$4:$A$15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'6. diagram'!$B$4:$B$15</c:f>
              <c:numCache>
                <c:formatCode>General</c:formatCode>
                <c:ptCount val="12"/>
                <c:pt idx="0">
                  <c:v>216</c:v>
                </c:pt>
                <c:pt idx="1">
                  <c:v>269</c:v>
                </c:pt>
                <c:pt idx="2">
                  <c:v>326</c:v>
                </c:pt>
                <c:pt idx="3">
                  <c:v>455</c:v>
                </c:pt>
                <c:pt idx="4">
                  <c:v>707</c:v>
                </c:pt>
                <c:pt idx="5">
                  <c:v>749</c:v>
                </c:pt>
                <c:pt idx="6">
                  <c:v>764</c:v>
                </c:pt>
                <c:pt idx="7">
                  <c:v>673</c:v>
                </c:pt>
                <c:pt idx="8">
                  <c:v>772</c:v>
                </c:pt>
                <c:pt idx="9">
                  <c:v>774</c:v>
                </c:pt>
                <c:pt idx="10">
                  <c:v>762</c:v>
                </c:pt>
                <c:pt idx="11">
                  <c:v>695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'6. diagram'!$C$3</c:f>
              <c:strCache>
                <c:ptCount val="1"/>
                <c:pt idx="0">
                  <c:v>export</c:v>
                </c:pt>
              </c:strCache>
            </c:strRef>
          </c:tx>
          <c:marker>
            <c:symbol val="none"/>
          </c:marker>
          <c:cat>
            <c:numRef>
              <c:f>'6. diagram'!$A$4:$A$15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'6. diagram'!$C$4:$C$15</c:f>
              <c:numCache>
                <c:formatCode>General</c:formatCode>
                <c:ptCount val="12"/>
                <c:pt idx="0">
                  <c:v>12</c:v>
                </c:pt>
                <c:pt idx="1">
                  <c:v>15</c:v>
                </c:pt>
                <c:pt idx="2">
                  <c:v>13</c:v>
                </c:pt>
                <c:pt idx="3">
                  <c:v>18</c:v>
                </c:pt>
                <c:pt idx="4">
                  <c:v>27</c:v>
                </c:pt>
                <c:pt idx="5">
                  <c:v>37</c:v>
                </c:pt>
                <c:pt idx="6">
                  <c:v>46</c:v>
                </c:pt>
                <c:pt idx="7">
                  <c:v>65</c:v>
                </c:pt>
                <c:pt idx="8">
                  <c:v>79</c:v>
                </c:pt>
                <c:pt idx="9">
                  <c:v>97</c:v>
                </c:pt>
                <c:pt idx="10">
                  <c:v>82</c:v>
                </c:pt>
                <c:pt idx="11">
                  <c:v>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'6. diagram'!$D$3</c:f>
              <c:strCache>
                <c:ptCount val="1"/>
                <c:pt idx="0">
                  <c:v>import </c:v>
                </c:pt>
              </c:strCache>
            </c:strRef>
          </c:tx>
          <c:marker>
            <c:symbol val="none"/>
          </c:marker>
          <c:cat>
            <c:numRef>
              <c:f>'6. diagram'!$A$4:$A$15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'6. diagram'!$D$4:$D$15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9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'6. diagram'!$E$3</c:f>
              <c:strCache>
                <c:ptCount val="1"/>
                <c:pt idx="0">
                  <c:v>összesen</c:v>
                </c:pt>
              </c:strCache>
            </c:strRef>
          </c:tx>
          <c:marker>
            <c:symbol val="none"/>
          </c:marker>
          <c:cat>
            <c:numRef>
              <c:f>'6. diagram'!$A$4:$A$15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'6. diagram'!$E$4:$E$15</c:f>
              <c:numCache>
                <c:formatCode>General</c:formatCode>
                <c:ptCount val="12"/>
                <c:pt idx="0">
                  <c:v>231</c:v>
                </c:pt>
                <c:pt idx="1">
                  <c:v>286</c:v>
                </c:pt>
                <c:pt idx="2">
                  <c:v>341</c:v>
                </c:pt>
                <c:pt idx="3">
                  <c:v>476</c:v>
                </c:pt>
                <c:pt idx="4">
                  <c:v>740</c:v>
                </c:pt>
                <c:pt idx="5">
                  <c:v>790</c:v>
                </c:pt>
                <c:pt idx="6">
                  <c:v>816</c:v>
                </c:pt>
                <c:pt idx="7">
                  <c:v>746</c:v>
                </c:pt>
                <c:pt idx="8">
                  <c:v>860</c:v>
                </c:pt>
                <c:pt idx="9">
                  <c:v>888</c:v>
                </c:pt>
                <c:pt idx="10">
                  <c:v>862</c:v>
                </c:pt>
                <c:pt idx="11">
                  <c:v>789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664976"/>
        <c:axId val="205490760"/>
      </c:lineChart>
      <c:catAx>
        <c:axId val="19066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hu-HU"/>
          </a:p>
        </c:txPr>
        <c:crossAx val="205490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4907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milliárd HUF</a:t>
                </a:r>
              </a:p>
            </c:rich>
          </c:tx>
          <c:layout>
            <c:manualLayout>
              <c:xMode val="edge"/>
              <c:yMode val="edge"/>
              <c:x val="2.3845007451564856E-2"/>
              <c:y val="0.3412081757496851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hu-HU"/>
          </a:p>
        </c:txPr>
        <c:crossAx val="19066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29806259314495"/>
          <c:y val="0.35170686341372687"/>
          <c:w val="0.19449814814814814"/>
          <c:h val="0.36452857142857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Ügyfelek vállalati árbevétel szerinti megoszlása</a:t>
            </a:r>
            <a:r>
              <a:rPr lang="hu-HU" sz="1000"/>
              <a:t>, 2006 </a:t>
            </a:r>
          </a:p>
          <a:p>
            <a:pPr>
              <a:defRPr sz="1000"/>
            </a:pPr>
            <a:endParaRPr lang="en-US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85694444444446"/>
          <c:y val="0.18003452380952381"/>
          <c:w val="0.45387337962962965"/>
          <c:h val="0.77806865079365084"/>
        </c:manualLayout>
      </c:layout>
      <c:pieChart>
        <c:varyColors val="1"/>
        <c:ser>
          <c:idx val="0"/>
          <c:order val="0"/>
          <c:tx>
            <c:strRef>
              <c:f>'7.diagram'!$A$13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'7.diagram'!$B$12:$E$12</c:f>
              <c:strCache>
                <c:ptCount val="4"/>
                <c:pt idx="0">
                  <c:v>mikro</c:v>
                </c:pt>
                <c:pt idx="1">
                  <c:v>kis</c:v>
                </c:pt>
                <c:pt idx="2">
                  <c:v>közép</c:v>
                </c:pt>
                <c:pt idx="3">
                  <c:v>nagy</c:v>
                </c:pt>
              </c:strCache>
            </c:strRef>
          </c:cat>
          <c:val>
            <c:numRef>
              <c:f>'7.diagram'!$B$13:$E$13</c:f>
              <c:numCache>
                <c:formatCode>General</c:formatCode>
                <c:ptCount val="4"/>
                <c:pt idx="0">
                  <c:v>39</c:v>
                </c:pt>
                <c:pt idx="1">
                  <c:v>36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3.4917454844771621E-2"/>
          <c:y val="0.34554316604327318"/>
          <c:w val="0.16405876780195375"/>
          <c:h val="0.373742612176922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000"/>
              <a:t>Ügyfelek vállalati árbevétel szerinti megoszlása, 2013 </a:t>
            </a:r>
          </a:p>
          <a:p>
            <a:pPr>
              <a:defRPr/>
            </a:pPr>
            <a:endParaRPr lang="hu-H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397731481481484"/>
          <c:y val="0.1649154761904762"/>
          <c:w val="0.48621134259259258"/>
          <c:h val="0.83350515873015874"/>
        </c:manualLayout>
      </c:layout>
      <c:pieChart>
        <c:varyColors val="1"/>
        <c:ser>
          <c:idx val="0"/>
          <c:order val="0"/>
          <c:tx>
            <c:strRef>
              <c:f>'7.diagram'!$A$17</c:f>
              <c:strCache>
                <c:ptCount val="1"/>
                <c:pt idx="0">
                  <c:v>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'7.diagram'!$B$12:$E$12</c:f>
              <c:strCache>
                <c:ptCount val="4"/>
                <c:pt idx="0">
                  <c:v>mikro</c:v>
                </c:pt>
                <c:pt idx="1">
                  <c:v>kis</c:v>
                </c:pt>
                <c:pt idx="2">
                  <c:v>közép</c:v>
                </c:pt>
                <c:pt idx="3">
                  <c:v>nagy</c:v>
                </c:pt>
              </c:strCache>
            </c:strRef>
          </c:cat>
          <c:val>
            <c:numRef>
              <c:f>'7.diagram'!$B$17:$E$17</c:f>
              <c:numCache>
                <c:formatCode>General</c:formatCode>
                <c:ptCount val="4"/>
                <c:pt idx="0">
                  <c:v>8</c:v>
                </c:pt>
                <c:pt idx="1">
                  <c:v>34</c:v>
                </c:pt>
                <c:pt idx="2">
                  <c:v>42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1465623010141486"/>
          <c:y val="0.27645383705275184"/>
          <c:w val="0.16167513084533072"/>
          <c:h val="0.499700542613520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000"/>
              <a:t>A faktorált forgalom ágazati megoszlása, %</a:t>
            </a:r>
          </a:p>
        </c:rich>
      </c:tx>
      <c:layout>
        <c:manualLayout>
          <c:xMode val="edge"/>
          <c:yMode val="edge"/>
          <c:x val="0.19111157771945167"/>
          <c:y val="4.21940928270042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666698495439456"/>
          <c:y val="0.19409362677028436"/>
          <c:w val="0.58444571277281421"/>
          <c:h val="0.6371334270068035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'8. diagram'!$B$5</c:f>
              <c:strCache>
                <c:ptCount val="1"/>
                <c:pt idx="0">
                  <c:v>Mezőgazdaság</c:v>
                </c:pt>
              </c:strCache>
            </c:strRef>
          </c:tx>
          <c:invertIfNegative val="0"/>
          <c:cat>
            <c:numRef>
              <c:f>'8. diagram'!$C$4:$G$4</c:f>
              <c:numCache>
                <c:formatCode>General</c:formatCode>
                <c:ptCount val="5"/>
                <c:pt idx="0">
                  <c:v>2006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'8. diagram'!$C$5:$G$5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'8. diagram'!$B$6</c:f>
              <c:strCache>
                <c:ptCount val="1"/>
                <c:pt idx="0">
                  <c:v>Ipar</c:v>
                </c:pt>
              </c:strCache>
            </c:strRef>
          </c:tx>
          <c:invertIfNegative val="0"/>
          <c:cat>
            <c:numRef>
              <c:f>'8. diagram'!$C$4:$G$4</c:f>
              <c:numCache>
                <c:formatCode>General</c:formatCode>
                <c:ptCount val="5"/>
                <c:pt idx="0">
                  <c:v>2006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'8. diagram'!$C$6:$G$6</c:f>
              <c:numCache>
                <c:formatCode>General</c:formatCode>
                <c:ptCount val="5"/>
                <c:pt idx="0">
                  <c:v>29</c:v>
                </c:pt>
                <c:pt idx="1">
                  <c:v>34</c:v>
                </c:pt>
                <c:pt idx="2">
                  <c:v>37</c:v>
                </c:pt>
                <c:pt idx="3">
                  <c:v>41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'8. diagram'!$B$7</c:f>
              <c:strCache>
                <c:ptCount val="1"/>
                <c:pt idx="0">
                  <c:v>Építőipar</c:v>
                </c:pt>
              </c:strCache>
            </c:strRef>
          </c:tx>
          <c:invertIfNegative val="0"/>
          <c:cat>
            <c:numRef>
              <c:f>'8. diagram'!$C$4:$G$4</c:f>
              <c:numCache>
                <c:formatCode>General</c:formatCode>
                <c:ptCount val="5"/>
                <c:pt idx="0">
                  <c:v>2006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'8. diagram'!$C$7:$G$7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'8. diagram'!$B$8</c:f>
              <c:strCache>
                <c:ptCount val="1"/>
                <c:pt idx="0">
                  <c:v>Kereskedelem</c:v>
                </c:pt>
              </c:strCache>
            </c:strRef>
          </c:tx>
          <c:invertIfNegative val="0"/>
          <c:cat>
            <c:numRef>
              <c:f>'8. diagram'!$C$4:$G$4</c:f>
              <c:numCache>
                <c:formatCode>General</c:formatCode>
                <c:ptCount val="5"/>
                <c:pt idx="0">
                  <c:v>2006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'8. diagram'!$C$8:$G$8</c:f>
              <c:numCache>
                <c:formatCode>General</c:formatCode>
                <c:ptCount val="5"/>
                <c:pt idx="0">
                  <c:v>38</c:v>
                </c:pt>
                <c:pt idx="1">
                  <c:v>34</c:v>
                </c:pt>
                <c:pt idx="2">
                  <c:v>30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ser>
          <c:idx val="4"/>
          <c:order val="4"/>
          <c:tx>
            <c:strRef>
              <c:f>'8. diagram'!$B$9</c:f>
              <c:strCache>
                <c:ptCount val="1"/>
                <c:pt idx="0">
                  <c:v>Szolgáltatások</c:v>
                </c:pt>
              </c:strCache>
            </c:strRef>
          </c:tx>
          <c:invertIfNegative val="0"/>
          <c:cat>
            <c:numRef>
              <c:f>'8. diagram'!$C$4:$G$4</c:f>
              <c:numCache>
                <c:formatCode>General</c:formatCode>
                <c:ptCount val="5"/>
                <c:pt idx="0">
                  <c:v>2006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'8. diagram'!$C$9:$G$9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ser>
          <c:idx val="5"/>
          <c:order val="5"/>
          <c:tx>
            <c:strRef>
              <c:f>'8. diagram'!$B$10</c:f>
              <c:strCache>
                <c:ptCount val="1"/>
                <c:pt idx="0">
                  <c:v>Egyéb</c:v>
                </c:pt>
              </c:strCache>
            </c:strRef>
          </c:tx>
          <c:invertIfNegative val="0"/>
          <c:cat>
            <c:numRef>
              <c:f>'8. diagram'!$C$4:$G$4</c:f>
              <c:numCache>
                <c:formatCode>General</c:formatCode>
                <c:ptCount val="5"/>
                <c:pt idx="0">
                  <c:v>2006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'8. diagram'!$C$10:$G$10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721824"/>
        <c:axId val="196721040"/>
      </c:barChart>
      <c:catAx>
        <c:axId val="19672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hu-HU"/>
          </a:p>
        </c:txPr>
        <c:crossAx val="196721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21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hu-HU"/>
          </a:p>
        </c:txPr>
        <c:crossAx val="19672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40902777777773"/>
          <c:y val="0.24449285714285723"/>
          <c:w val="0.22527662037037038"/>
          <c:h val="0.546792857142857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000"/>
              <a:t>Faktorok megoszlása tulajdonosi háttér szerint</a:t>
            </a:r>
          </a:p>
        </c:rich>
      </c:tx>
      <c:layout>
        <c:manualLayout>
          <c:xMode val="edge"/>
          <c:yMode val="edge"/>
          <c:x val="0.11253223781809882"/>
          <c:y val="4.1284403669724766E-2"/>
        </c:manualLayout>
      </c:layout>
      <c:overlay val="0"/>
    </c:title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58148148148149"/>
          <c:y val="0.24770642201834875"/>
          <c:w val="0.59714328703703701"/>
          <c:h val="0.608562691131498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'9.diagram'!$C$8:$D$8</c:f>
              <c:strCache>
                <c:ptCount val="2"/>
                <c:pt idx="0">
                  <c:v>Független faktorok</c:v>
                </c:pt>
              </c:strCache>
            </c:strRef>
          </c:tx>
          <c:invertIfNegative val="0"/>
          <c:cat>
            <c:numRef>
              <c:f>'9.diagram'!$E$7:$H$7</c:f>
              <c:numCache>
                <c:formatCode>General</c:formatCode>
                <c:ptCount val="4"/>
                <c:pt idx="0">
                  <c:v>2002</c:v>
                </c:pt>
                <c:pt idx="1">
                  <c:v>2006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'9.diagram'!$E$8:$H$8</c:f>
              <c:numCache>
                <c:formatCode>General</c:formatCode>
                <c:ptCount val="4"/>
                <c:pt idx="0">
                  <c:v>149.5</c:v>
                </c:pt>
                <c:pt idx="1">
                  <c:v>202.6</c:v>
                </c:pt>
                <c:pt idx="2">
                  <c:v>161.6</c:v>
                </c:pt>
                <c:pt idx="3">
                  <c:v>184</c:v>
                </c:pt>
              </c:numCache>
            </c:numRef>
          </c:val>
        </c:ser>
        <c:ser>
          <c:idx val="1"/>
          <c:order val="1"/>
          <c:tx>
            <c:strRef>
              <c:f>'9.diagram'!$C$9:$D$9</c:f>
              <c:strCache>
                <c:ptCount val="2"/>
                <c:pt idx="0">
                  <c:v>Banki faktorok</c:v>
                </c:pt>
              </c:strCache>
            </c:strRef>
          </c:tx>
          <c:invertIfNegative val="0"/>
          <c:cat>
            <c:numRef>
              <c:f>'9.diagram'!$E$7:$H$7</c:f>
              <c:numCache>
                <c:formatCode>General</c:formatCode>
                <c:ptCount val="4"/>
                <c:pt idx="0">
                  <c:v>2002</c:v>
                </c:pt>
                <c:pt idx="1">
                  <c:v>2006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'9.diagram'!$E$9:$H$9</c:f>
              <c:numCache>
                <c:formatCode>General</c:formatCode>
                <c:ptCount val="4"/>
                <c:pt idx="0">
                  <c:v>75</c:v>
                </c:pt>
                <c:pt idx="1">
                  <c:v>303</c:v>
                </c:pt>
                <c:pt idx="2">
                  <c:v>321.5</c:v>
                </c:pt>
                <c:pt idx="3">
                  <c:v>146.30000000000001</c:v>
                </c:pt>
              </c:numCache>
            </c:numRef>
          </c:val>
        </c:ser>
        <c:ser>
          <c:idx val="2"/>
          <c:order val="2"/>
          <c:tx>
            <c:strRef>
              <c:f>'9.diagram'!$C$10:$D$10</c:f>
              <c:strCache>
                <c:ptCount val="2"/>
                <c:pt idx="0">
                  <c:v>Bankok</c:v>
                </c:pt>
              </c:strCache>
            </c:strRef>
          </c:tx>
          <c:invertIfNegative val="0"/>
          <c:cat>
            <c:numRef>
              <c:f>'9.diagram'!$E$7:$H$7</c:f>
              <c:numCache>
                <c:formatCode>General</c:formatCode>
                <c:ptCount val="4"/>
                <c:pt idx="0">
                  <c:v>2002</c:v>
                </c:pt>
                <c:pt idx="1">
                  <c:v>2006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'9.diagram'!$E$10:$H$10</c:f>
              <c:numCache>
                <c:formatCode>General</c:formatCode>
                <c:ptCount val="4"/>
                <c:pt idx="0">
                  <c:v>58</c:v>
                </c:pt>
                <c:pt idx="1">
                  <c:v>222</c:v>
                </c:pt>
                <c:pt idx="2">
                  <c:v>379.2</c:v>
                </c:pt>
                <c:pt idx="3">
                  <c:v>459.7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718296"/>
        <c:axId val="196718688"/>
        <c:axId val="0"/>
      </c:bar3DChart>
      <c:catAx>
        <c:axId val="19671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hu-HU"/>
          </a:p>
        </c:txPr>
        <c:crossAx val="19671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186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Md. forint</a:t>
                </a:r>
              </a:p>
            </c:rich>
          </c:tx>
          <c:layout>
            <c:manualLayout>
              <c:xMode val="edge"/>
              <c:yMode val="edge"/>
              <c:x val="1.5490740740740737E-2"/>
              <c:y val="0.167319047619047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hu-HU"/>
          </a:p>
        </c:txPr>
        <c:crossAx val="196718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99824798115063"/>
          <c:y val="0.45412844036697247"/>
          <c:w val="0.26854246799712717"/>
          <c:h val="0.26605504587155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5A9A-2373-4CFD-BC4A-D42CCAEF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1838</Words>
  <Characters>12689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</dc:creator>
  <cp:lastModifiedBy>Irén</cp:lastModifiedBy>
  <cp:revision>17</cp:revision>
  <cp:lastPrinted>2014-07-03T08:06:00Z</cp:lastPrinted>
  <dcterms:created xsi:type="dcterms:W3CDTF">2014-07-03T16:28:00Z</dcterms:created>
  <dcterms:modified xsi:type="dcterms:W3CDTF">2014-07-16T10:24:00Z</dcterms:modified>
</cp:coreProperties>
</file>